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166" w:rsidRDefault="00E60166" w:rsidP="00E60166">
      <w:bookmarkStart w:id="0" w:name="_GoBack"/>
      <w:bookmarkEnd w:id="0"/>
      <w:r w:rsidRPr="00D0625A">
        <w:rPr>
          <w:b/>
          <w:noProof/>
          <w:color w:val="0070C0"/>
          <w:sz w:val="32"/>
          <w:lang w:eastAsia="lv-LV"/>
        </w:rPr>
        <w:drawing>
          <wp:anchor distT="0" distB="0" distL="114300" distR="114300" simplePos="0" relativeHeight="251659264" behindDoc="0" locked="0" layoutInCell="1" allowOverlap="1" wp14:anchorId="44167444" wp14:editId="2C771D63">
            <wp:simplePos x="0" y="0"/>
            <wp:positionH relativeFrom="column">
              <wp:posOffset>59579</wp:posOffset>
            </wp:positionH>
            <wp:positionV relativeFrom="paragraph">
              <wp:posOffset>-187325</wp:posOffset>
            </wp:positionV>
            <wp:extent cx="5158577" cy="1089329"/>
            <wp:effectExtent l="0" t="0" r="444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8577" cy="10893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166" w:rsidRDefault="00E60166" w:rsidP="00E60166"/>
    <w:p w:rsidR="00E60166" w:rsidRDefault="00E60166" w:rsidP="00E60166"/>
    <w:p w:rsidR="00E60166" w:rsidRPr="00FD71A3" w:rsidRDefault="00AB2AB3" w:rsidP="00E60166">
      <w:r>
        <w:t>01</w:t>
      </w:r>
      <w:r w:rsidR="00C0647E">
        <w:t>.1</w:t>
      </w:r>
      <w:r>
        <w:t>2</w:t>
      </w:r>
      <w:r w:rsidR="00E60166" w:rsidRPr="00FD71A3">
        <w:t>.201</w:t>
      </w:r>
      <w:r w:rsidR="00D3581C">
        <w:t>7</w:t>
      </w:r>
      <w:r w:rsidR="00E60166" w:rsidRPr="00FD71A3">
        <w:t>.</w:t>
      </w:r>
    </w:p>
    <w:p w:rsidR="00AB2AB3" w:rsidRPr="009711AC" w:rsidRDefault="00AB2AB3" w:rsidP="00AB2AB3">
      <w:pPr>
        <w:spacing w:after="0" w:line="240" w:lineRule="auto"/>
        <w:jc w:val="both"/>
        <w:rPr>
          <w:rFonts w:cstheme="minorHAnsi"/>
          <w:b/>
          <w:sz w:val="28"/>
          <w:szCs w:val="28"/>
        </w:rPr>
      </w:pPr>
      <w:r w:rsidRPr="009711AC">
        <w:rPr>
          <w:rFonts w:cstheme="minorHAnsi"/>
          <w:b/>
          <w:sz w:val="28"/>
          <w:szCs w:val="28"/>
        </w:rPr>
        <w:t xml:space="preserve">Kurzemes reģiona </w:t>
      </w:r>
      <w:proofErr w:type="spellStart"/>
      <w:r w:rsidRPr="009711AC">
        <w:rPr>
          <w:rFonts w:cstheme="minorHAnsi"/>
          <w:b/>
          <w:sz w:val="28"/>
          <w:szCs w:val="28"/>
        </w:rPr>
        <w:t>deinstitucionalizācijas</w:t>
      </w:r>
      <w:proofErr w:type="spellEnd"/>
      <w:r w:rsidRPr="009711AC">
        <w:rPr>
          <w:rFonts w:cstheme="minorHAnsi"/>
          <w:b/>
          <w:sz w:val="28"/>
          <w:szCs w:val="28"/>
        </w:rPr>
        <w:t xml:space="preserve"> plānā piedāvātie risinājumi</w:t>
      </w:r>
    </w:p>
    <w:p w:rsidR="00AB2AB3" w:rsidRPr="003A70B0" w:rsidRDefault="00AB2AB3" w:rsidP="00AB2AB3">
      <w:pPr>
        <w:spacing w:after="0" w:line="240" w:lineRule="auto"/>
        <w:jc w:val="both"/>
        <w:rPr>
          <w:rFonts w:cstheme="minorHAnsi"/>
          <w:szCs w:val="24"/>
        </w:rPr>
      </w:pPr>
    </w:p>
    <w:p w:rsidR="00AB2AB3" w:rsidRDefault="00AB2AB3" w:rsidP="00AB2AB3">
      <w:pPr>
        <w:spacing w:after="0" w:line="240" w:lineRule="auto"/>
        <w:jc w:val="both"/>
        <w:rPr>
          <w:rFonts w:cstheme="minorHAnsi"/>
          <w:b/>
          <w:szCs w:val="24"/>
        </w:rPr>
      </w:pPr>
      <w:r w:rsidRPr="00794B80">
        <w:rPr>
          <w:rFonts w:cstheme="minorHAnsi"/>
          <w:b/>
          <w:szCs w:val="24"/>
        </w:rPr>
        <w:t xml:space="preserve">Šī gada novembrī </w:t>
      </w:r>
      <w:r>
        <w:rPr>
          <w:rFonts w:cstheme="minorHAnsi"/>
          <w:b/>
          <w:szCs w:val="24"/>
        </w:rPr>
        <w:t xml:space="preserve">Kurzemes iedzīvotājiem </w:t>
      </w:r>
      <w:r w:rsidRPr="00794B80">
        <w:rPr>
          <w:rFonts w:cstheme="minorHAnsi"/>
          <w:b/>
          <w:szCs w:val="24"/>
        </w:rPr>
        <w:t xml:space="preserve">tika </w:t>
      </w:r>
      <w:r>
        <w:rPr>
          <w:rFonts w:cstheme="minorHAnsi"/>
          <w:b/>
          <w:szCs w:val="24"/>
        </w:rPr>
        <w:t xml:space="preserve">piedāvāts iepazīties un apspriest </w:t>
      </w:r>
      <w:r w:rsidRPr="00794B80">
        <w:rPr>
          <w:rFonts w:cstheme="minorHAnsi"/>
          <w:b/>
          <w:szCs w:val="24"/>
        </w:rPr>
        <w:t xml:space="preserve">Kurzemes plānošanas reģiona </w:t>
      </w:r>
      <w:proofErr w:type="spellStart"/>
      <w:r w:rsidRPr="00794B80">
        <w:rPr>
          <w:rFonts w:cstheme="minorHAnsi"/>
          <w:b/>
          <w:szCs w:val="24"/>
        </w:rPr>
        <w:t>deinstitucionalizācijas</w:t>
      </w:r>
      <w:proofErr w:type="spellEnd"/>
      <w:r w:rsidRPr="00794B80">
        <w:rPr>
          <w:rFonts w:cstheme="minorHAnsi"/>
          <w:b/>
          <w:szCs w:val="24"/>
        </w:rPr>
        <w:t xml:space="preserve">  plān</w:t>
      </w:r>
      <w:r>
        <w:rPr>
          <w:rFonts w:cstheme="minorHAnsi"/>
          <w:b/>
          <w:szCs w:val="24"/>
        </w:rPr>
        <w:t>a</w:t>
      </w:r>
      <w:r w:rsidRPr="00794B80">
        <w:rPr>
          <w:rFonts w:cstheme="minorHAnsi"/>
          <w:b/>
          <w:szCs w:val="24"/>
        </w:rPr>
        <w:t xml:space="preserve"> (KPR DI plāns) </w:t>
      </w:r>
      <w:r>
        <w:rPr>
          <w:rFonts w:cstheme="minorHAnsi"/>
          <w:b/>
          <w:szCs w:val="24"/>
        </w:rPr>
        <w:t>2.redakcijā iekļautos risinājumus sabiedrībā balstītu sociālo pakalpojumu labākai pieejamībai.</w:t>
      </w:r>
    </w:p>
    <w:p w:rsidR="00AB2AB3" w:rsidRPr="00794B80" w:rsidRDefault="00AB2AB3" w:rsidP="00AB2AB3">
      <w:pPr>
        <w:spacing w:after="0" w:line="240" w:lineRule="auto"/>
        <w:jc w:val="both"/>
        <w:rPr>
          <w:rFonts w:cstheme="minorHAnsi"/>
          <w:b/>
          <w:szCs w:val="24"/>
        </w:rPr>
      </w:pPr>
    </w:p>
    <w:p w:rsidR="00AB2AB3" w:rsidRDefault="00AB2AB3" w:rsidP="00AB2AB3">
      <w:pPr>
        <w:spacing w:after="0" w:line="240" w:lineRule="auto"/>
        <w:jc w:val="both"/>
        <w:rPr>
          <w:rFonts w:cstheme="minorHAnsi"/>
          <w:szCs w:val="24"/>
        </w:rPr>
      </w:pPr>
      <w:r>
        <w:rPr>
          <w:rFonts w:cstheme="minorHAnsi"/>
          <w:szCs w:val="24"/>
        </w:rPr>
        <w:t xml:space="preserve">Saskaņā ar KPR DI plāna mērķi, ir nepieciešams noteikt Kurzemē īstenojamās rīcības, lai specifiskām iedzīvotāju grupām* nodrošinātu viņu vajadzībām atbilstošus sociālos pakalpojumus un novērstu nokļūšanu </w:t>
      </w:r>
      <w:r w:rsidRPr="001F35E7">
        <w:rPr>
          <w:rFonts w:cstheme="minorHAnsi"/>
          <w:szCs w:val="24"/>
        </w:rPr>
        <w:t xml:space="preserve">institūcijās. </w:t>
      </w:r>
    </w:p>
    <w:p w:rsidR="00AB2AB3" w:rsidRDefault="00AB2AB3" w:rsidP="00AB2AB3">
      <w:pPr>
        <w:spacing w:after="0" w:line="240" w:lineRule="auto"/>
        <w:jc w:val="both"/>
        <w:rPr>
          <w:rFonts w:cstheme="minorHAnsi"/>
          <w:szCs w:val="24"/>
        </w:rPr>
      </w:pPr>
    </w:p>
    <w:p w:rsidR="00AB2AB3" w:rsidRPr="00D95269" w:rsidRDefault="00AB2AB3" w:rsidP="00AB2AB3">
      <w:pPr>
        <w:spacing w:after="0" w:line="240" w:lineRule="auto"/>
        <w:jc w:val="both"/>
        <w:rPr>
          <w:rFonts w:cstheme="minorHAnsi"/>
          <w:szCs w:val="24"/>
        </w:rPr>
      </w:pPr>
      <w:r w:rsidRPr="001F35E7">
        <w:rPr>
          <w:rFonts w:cstheme="minorHAnsi"/>
          <w:szCs w:val="24"/>
        </w:rPr>
        <w:t>KPR DI plāna</w:t>
      </w:r>
      <w:r>
        <w:rPr>
          <w:rFonts w:cstheme="minorHAnsi"/>
          <w:szCs w:val="24"/>
        </w:rPr>
        <w:t xml:space="preserve"> izstrādes laikā SIA “SAFEGE Baltija”</w:t>
      </w:r>
      <w:r w:rsidRPr="003A70B0">
        <w:rPr>
          <w:rFonts w:cs="Times New Roman"/>
        </w:rPr>
        <w:t xml:space="preserve"> </w:t>
      </w:r>
      <w:r>
        <w:rPr>
          <w:rFonts w:cs="Times New Roman"/>
        </w:rPr>
        <w:t>apkopoja statistikas datus par mērķa grupu skaitu Kurzemē, tām</w:t>
      </w:r>
      <w:r>
        <w:rPr>
          <w:rFonts w:cstheme="minorHAnsi"/>
          <w:szCs w:val="24"/>
        </w:rPr>
        <w:t xml:space="preserve"> </w:t>
      </w:r>
      <w:r>
        <w:rPr>
          <w:rFonts w:cs="Times New Roman"/>
        </w:rPr>
        <w:t>pieejam</w:t>
      </w:r>
      <w:r w:rsidRPr="001F35E7">
        <w:rPr>
          <w:rFonts w:cs="Times New Roman"/>
        </w:rPr>
        <w:t>iem</w:t>
      </w:r>
      <w:r>
        <w:rPr>
          <w:rFonts w:cs="Times New Roman"/>
        </w:rPr>
        <w:t xml:space="preserve"> sabiedrībā balstītiem sociāliem pakalpojumiem**,</w:t>
      </w:r>
      <w:r w:rsidRPr="001F35E7">
        <w:rPr>
          <w:rFonts w:cs="Times New Roman"/>
        </w:rPr>
        <w:t xml:space="preserve"> </w:t>
      </w:r>
      <w:r w:rsidRPr="001F35E7">
        <w:rPr>
          <w:rFonts w:cstheme="minorHAnsi"/>
          <w:szCs w:val="24"/>
        </w:rPr>
        <w:t>individuālām vajadzībām,</w:t>
      </w:r>
      <w:r w:rsidRPr="001F35E7">
        <w:rPr>
          <w:rFonts w:cs="Times New Roman"/>
        </w:rPr>
        <w:t xml:space="preserve"> </w:t>
      </w:r>
      <w:r>
        <w:rPr>
          <w:rFonts w:cs="Times New Roman"/>
        </w:rPr>
        <w:t xml:space="preserve">kā arī </w:t>
      </w:r>
      <w:r w:rsidRPr="001F35E7">
        <w:rPr>
          <w:rFonts w:cs="Times New Roman"/>
        </w:rPr>
        <w:t>veica esošās situācijas analīzi par pakalpojumu sniegšanu un infrastruktūras pieejamību, tai skaitā par vispārējiem pakalpojumi</w:t>
      </w:r>
      <w:r w:rsidRPr="001F35E7">
        <w:rPr>
          <w:rFonts w:cstheme="minorHAnsi"/>
          <w:szCs w:val="24"/>
        </w:rPr>
        <w:t>em</w:t>
      </w:r>
      <w:r w:rsidRPr="001F35E7">
        <w:rPr>
          <w:rFonts w:cs="Times New Roman"/>
        </w:rPr>
        <w:t>. Tāpat tika izvērtēta</w:t>
      </w:r>
      <w:r>
        <w:rPr>
          <w:rFonts w:cs="Times New Roman"/>
        </w:rPr>
        <w:t xml:space="preserve"> </w:t>
      </w:r>
      <w:r w:rsidRPr="001F35E7">
        <w:rPr>
          <w:rFonts w:cs="Times New Roman"/>
        </w:rPr>
        <w:t xml:space="preserve"> nepieciešamo</w:t>
      </w:r>
      <w:r>
        <w:rPr>
          <w:rFonts w:cs="Times New Roman"/>
        </w:rPr>
        <w:t xml:space="preserve"> speciālistu pieejamība un analizētas to apmācību vajadzības. Vienlaicīgi izstrādes procesā </w:t>
      </w:r>
      <w:r w:rsidRPr="003A70B0">
        <w:rPr>
          <w:rFonts w:cs="Times New Roman"/>
        </w:rPr>
        <w:t xml:space="preserve">notikušas </w:t>
      </w:r>
      <w:r>
        <w:rPr>
          <w:rFonts w:cs="Times New Roman"/>
        </w:rPr>
        <w:t>vairākas</w:t>
      </w:r>
      <w:r w:rsidRPr="003A70B0">
        <w:rPr>
          <w:rFonts w:cs="Times New Roman"/>
        </w:rPr>
        <w:t xml:space="preserve"> </w:t>
      </w:r>
      <w:r>
        <w:rPr>
          <w:rFonts w:cs="Times New Roman"/>
        </w:rPr>
        <w:t>tikšanās</w:t>
      </w:r>
      <w:r w:rsidRPr="003A70B0">
        <w:rPr>
          <w:rFonts w:cs="Times New Roman"/>
        </w:rPr>
        <w:t xml:space="preserve"> ar pašvaldībām par to iespējām un interesi veidot</w:t>
      </w:r>
      <w:r>
        <w:rPr>
          <w:rFonts w:cs="Times New Roman"/>
        </w:rPr>
        <w:t xml:space="preserve"> mērķa grupai nepieciešamos</w:t>
      </w:r>
      <w:r w:rsidRPr="003A70B0">
        <w:rPr>
          <w:rFonts w:cs="Times New Roman"/>
        </w:rPr>
        <w:t xml:space="preserve"> sabiedrībā balstītus</w:t>
      </w:r>
      <w:r>
        <w:rPr>
          <w:rFonts w:cs="Times New Roman"/>
        </w:rPr>
        <w:t xml:space="preserve"> sociālos</w:t>
      </w:r>
      <w:r w:rsidRPr="003A70B0">
        <w:rPr>
          <w:rFonts w:cs="Times New Roman"/>
        </w:rPr>
        <w:t xml:space="preserve"> pakalpojumus</w:t>
      </w:r>
      <w:r>
        <w:rPr>
          <w:rFonts w:cs="Times New Roman"/>
        </w:rPr>
        <w:t xml:space="preserve">. </w:t>
      </w:r>
    </w:p>
    <w:p w:rsidR="00AB2AB3" w:rsidRPr="003A70B0" w:rsidRDefault="00AB2AB3" w:rsidP="00AB2AB3">
      <w:pPr>
        <w:spacing w:after="0" w:line="240" w:lineRule="auto"/>
        <w:jc w:val="both"/>
        <w:rPr>
          <w:rFonts w:cs="Times New Roman"/>
        </w:rPr>
      </w:pPr>
    </w:p>
    <w:p w:rsidR="00AB2AB3" w:rsidRDefault="00AB2AB3" w:rsidP="00AB2AB3">
      <w:pPr>
        <w:spacing w:after="0" w:line="240" w:lineRule="auto"/>
        <w:jc w:val="both"/>
        <w:rPr>
          <w:rFonts w:cs="Times New Roman"/>
        </w:rPr>
      </w:pPr>
      <w:r w:rsidRPr="00D45A93">
        <w:rPr>
          <w:rFonts w:cstheme="minorHAnsi"/>
          <w:szCs w:val="24"/>
        </w:rPr>
        <w:t>KPR DI plāna 2.redakcijā iekļauti priekšlikumi</w:t>
      </w:r>
      <w:r w:rsidRPr="00D45A93">
        <w:rPr>
          <w:rFonts w:cs="Times New Roman"/>
        </w:rPr>
        <w:t xml:space="preserve"> jaunas infrastruktūras izveidei vai esošās uzlabošanai</w:t>
      </w:r>
      <w:r>
        <w:rPr>
          <w:rFonts w:cs="Times New Roman"/>
        </w:rPr>
        <w:t xml:space="preserve"> (skatīt zemāk)</w:t>
      </w:r>
      <w:r w:rsidRPr="00D45A93">
        <w:rPr>
          <w:rFonts w:cs="Times New Roman"/>
        </w:rPr>
        <w:t>, lai izveidotu jaunus sociālos pakalpojumus vai uzlabotu to pieejamību pašvaldībās. Papildus tam plānā sniegta informācija par reģionā nepieciešamo speciālistu</w:t>
      </w:r>
      <w:r>
        <w:rPr>
          <w:rFonts w:cs="Times New Roman"/>
        </w:rPr>
        <w:t xml:space="preserve"> skaitu un to apmācību vajadzībām, kā arī norādīts iespējamais pašvaldību sadarbības modelis nepieciešamo pakalpojumu nodrošināšanā Kurzemē. </w:t>
      </w:r>
      <w:r w:rsidRPr="003A70B0">
        <w:rPr>
          <w:rFonts w:cs="Times New Roman"/>
        </w:rPr>
        <w:t xml:space="preserve">Plāns izstrādāts </w:t>
      </w:r>
      <w:r>
        <w:rPr>
          <w:rFonts w:cs="Times New Roman"/>
        </w:rPr>
        <w:t xml:space="preserve">apzinoties, ka finansējums visu vēlamo priekšlikumu īstenošanai </w:t>
      </w:r>
      <w:r w:rsidRPr="003A70B0">
        <w:rPr>
          <w:rFonts w:cs="Times New Roman"/>
        </w:rPr>
        <w:t xml:space="preserve">šobrīd </w:t>
      </w:r>
      <w:r>
        <w:rPr>
          <w:rFonts w:cs="Times New Roman"/>
        </w:rPr>
        <w:t xml:space="preserve">nav pietiekams, tāpēc tajā iekļauti tie risinājumi, kuriem ir pieejams </w:t>
      </w:r>
      <w:r>
        <w:rPr>
          <w:rFonts w:cstheme="minorHAnsi"/>
          <w:szCs w:val="24"/>
        </w:rPr>
        <w:t xml:space="preserve">Eiropas reģionālā attīstības fonda līdzfinansējums </w:t>
      </w:r>
      <w:r>
        <w:rPr>
          <w:rFonts w:cs="Times New Roman"/>
        </w:rPr>
        <w:t xml:space="preserve">2014-2020.gada periodā. </w:t>
      </w:r>
    </w:p>
    <w:p w:rsidR="00AB2AB3" w:rsidRDefault="00AB2AB3" w:rsidP="00AB2AB3">
      <w:pPr>
        <w:spacing w:after="0" w:line="240" w:lineRule="auto"/>
        <w:jc w:val="both"/>
        <w:rPr>
          <w:rFonts w:cs="Times New Roman"/>
        </w:rPr>
      </w:pPr>
    </w:p>
    <w:p w:rsidR="00AB2AB3" w:rsidRPr="00BB56E5" w:rsidRDefault="00AB2AB3" w:rsidP="00AB2AB3">
      <w:pPr>
        <w:spacing w:after="0" w:line="240" w:lineRule="auto"/>
        <w:jc w:val="center"/>
        <w:rPr>
          <w:rFonts w:cs="Times New Roman"/>
          <w:b/>
        </w:rPr>
      </w:pPr>
      <w:r w:rsidRPr="00BB56E5">
        <w:rPr>
          <w:rFonts w:cs="Times New Roman"/>
          <w:b/>
        </w:rPr>
        <w:t>KPR DI plānā iekļautie risinājumi</w:t>
      </w:r>
      <w:r>
        <w:rPr>
          <w:rFonts w:cs="Times New Roman"/>
          <w:b/>
        </w:rPr>
        <w:t xml:space="preserve"> atbilstoši mērķa grupai</w:t>
      </w:r>
    </w:p>
    <w:p w:rsidR="00AB2AB3" w:rsidRDefault="00AB2AB3" w:rsidP="00AB2AB3">
      <w:pPr>
        <w:spacing w:after="0" w:line="240" w:lineRule="auto"/>
        <w:jc w:val="both"/>
        <w:rPr>
          <w:rFonts w:cs="Times New Roman"/>
        </w:rPr>
      </w:pPr>
    </w:p>
    <w:p w:rsidR="00AB2AB3" w:rsidRPr="003A70B0" w:rsidRDefault="00AB2AB3" w:rsidP="00AB2AB3">
      <w:pPr>
        <w:spacing w:after="0" w:line="240" w:lineRule="auto"/>
        <w:jc w:val="both"/>
        <w:rPr>
          <w:rFonts w:cs="Times New Roman"/>
          <w:b/>
        </w:rPr>
      </w:pPr>
      <w:r>
        <w:rPr>
          <w:rFonts w:cs="Times New Roman"/>
          <w:b/>
        </w:rPr>
        <w:t>B</w:t>
      </w:r>
      <w:r w:rsidRPr="00BB56E5">
        <w:rPr>
          <w:rFonts w:cs="Times New Roman"/>
          <w:b/>
        </w:rPr>
        <w:t>ērnu namos</w:t>
      </w:r>
      <w:r>
        <w:rPr>
          <w:rFonts w:cs="Times New Roman"/>
          <w:b/>
        </w:rPr>
        <w:t xml:space="preserve"> esošie bērni</w:t>
      </w:r>
    </w:p>
    <w:p w:rsidR="00AB2AB3" w:rsidRPr="003A70B0" w:rsidRDefault="00AB2AB3" w:rsidP="00AB2AB3">
      <w:pPr>
        <w:spacing w:after="0" w:line="240" w:lineRule="auto"/>
        <w:jc w:val="both"/>
        <w:rPr>
          <w:rFonts w:cstheme="minorHAnsi"/>
          <w:szCs w:val="24"/>
        </w:rPr>
      </w:pPr>
      <w:r>
        <w:rPr>
          <w:rFonts w:cstheme="minorHAnsi"/>
          <w:szCs w:val="24"/>
        </w:rPr>
        <w:t>2016.gada 31.decembrī Kurzemes plānošanas reģiona bērnu namos pakalpojumus saņēma 146 bērni.</w:t>
      </w:r>
      <w:r w:rsidRPr="003A70B0">
        <w:rPr>
          <w:rFonts w:cstheme="minorHAnsi"/>
          <w:szCs w:val="24"/>
        </w:rPr>
        <w:t xml:space="preserve"> </w:t>
      </w:r>
      <w:r>
        <w:rPr>
          <w:rFonts w:cstheme="minorHAnsi"/>
          <w:szCs w:val="24"/>
        </w:rPr>
        <w:t xml:space="preserve">Lai attīstītu pakalpojumus atbilstoši bērnu vajadzībām un pēc iespējas ģimeniskā vidē, </w:t>
      </w:r>
      <w:r w:rsidRPr="003A70B0">
        <w:rPr>
          <w:rFonts w:cstheme="minorHAnsi"/>
          <w:szCs w:val="24"/>
        </w:rPr>
        <w:t>Talsu novadā un Liepājā</w:t>
      </w:r>
      <w:r>
        <w:rPr>
          <w:rFonts w:cstheme="minorHAnsi"/>
          <w:szCs w:val="24"/>
        </w:rPr>
        <w:t xml:space="preserve"> tiks izveidotas jauniešu mājas 18 bērniem pusaudžu vecumā (15-17.g.), savukārt </w:t>
      </w:r>
      <w:r w:rsidRPr="003A70B0">
        <w:rPr>
          <w:rFonts w:cstheme="minorHAnsi"/>
          <w:szCs w:val="24"/>
        </w:rPr>
        <w:t xml:space="preserve">Ventspilī un Liepājā tiks </w:t>
      </w:r>
      <w:r>
        <w:rPr>
          <w:rFonts w:cstheme="minorHAnsi"/>
          <w:szCs w:val="24"/>
        </w:rPr>
        <w:t>izveidoti</w:t>
      </w:r>
      <w:r w:rsidRPr="003A70B0">
        <w:rPr>
          <w:rFonts w:cstheme="minorHAnsi"/>
          <w:szCs w:val="24"/>
        </w:rPr>
        <w:t xml:space="preserve"> ģimeniskai videi pietuvināti pakalpojumi</w:t>
      </w:r>
      <w:r>
        <w:rPr>
          <w:rFonts w:cstheme="minorHAnsi"/>
          <w:szCs w:val="24"/>
        </w:rPr>
        <w:t xml:space="preserve"> </w:t>
      </w:r>
      <w:r w:rsidRPr="003A70B0">
        <w:rPr>
          <w:rFonts w:cstheme="minorHAnsi"/>
          <w:szCs w:val="24"/>
        </w:rPr>
        <w:t>40 bērniem</w:t>
      </w:r>
      <w:r>
        <w:rPr>
          <w:rFonts w:cstheme="minorHAnsi"/>
          <w:szCs w:val="24"/>
        </w:rPr>
        <w:t>, t.sk. bērniem ar funkcionāliem traucējumiem</w:t>
      </w:r>
      <w:r w:rsidRPr="003A70B0">
        <w:rPr>
          <w:rFonts w:cstheme="minorHAnsi"/>
          <w:szCs w:val="24"/>
        </w:rPr>
        <w:t xml:space="preserve">. </w:t>
      </w:r>
    </w:p>
    <w:p w:rsidR="00AB2AB3" w:rsidRPr="003A70B0" w:rsidRDefault="00AB2AB3" w:rsidP="00AB2AB3">
      <w:pPr>
        <w:spacing w:after="0" w:line="240" w:lineRule="auto"/>
        <w:jc w:val="center"/>
        <w:rPr>
          <w:rFonts w:cstheme="minorHAnsi"/>
          <w:szCs w:val="24"/>
        </w:rPr>
      </w:pPr>
      <w:r w:rsidRPr="003A70B0">
        <w:rPr>
          <w:rFonts w:cstheme="minorHAnsi"/>
          <w:noProof/>
          <w:szCs w:val="24"/>
          <w:lang w:eastAsia="lv-LV"/>
        </w:rPr>
        <w:lastRenderedPageBreak/>
        <w:drawing>
          <wp:inline distT="0" distB="0" distL="0" distR="0" wp14:anchorId="640E401E" wp14:editId="11BEB86F">
            <wp:extent cx="3188473" cy="3498574"/>
            <wp:effectExtent l="0" t="0" r="0" b="6985"/>
            <wp:docPr id="6" name="Picture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3A6498B-D0A9-492F-A020-A57E0C6CD3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3A6498B-D0A9-492F-A020-A57E0C6CD38B}"/>
                        </a:ext>
                      </a:extLst>
                    </pic:cNvPr>
                    <pic:cNvPicPr>
                      <a:picLocks noChangeAspect="1"/>
                    </pic:cNvPicPr>
                  </pic:nvPicPr>
                  <pic:blipFill rotWithShape="1">
                    <a:blip r:embed="rId6">
                      <a:extLst>
                        <a:ext uri="{28A0092B-C50C-407E-A947-70E740481C1C}">
                          <a14:useLocalDpi xmlns:a14="http://schemas.microsoft.com/office/drawing/2010/main" val="0"/>
                        </a:ext>
                      </a:extLst>
                    </a:blip>
                    <a:srcRect t="7595" b="14867"/>
                    <a:stretch/>
                  </pic:blipFill>
                  <pic:spPr bwMode="auto">
                    <a:xfrm>
                      <a:off x="0" y="0"/>
                      <a:ext cx="3189605" cy="3499816"/>
                    </a:xfrm>
                    <a:prstGeom prst="rect">
                      <a:avLst/>
                    </a:prstGeom>
                    <a:ln>
                      <a:noFill/>
                    </a:ln>
                    <a:extLst>
                      <a:ext uri="{53640926-AAD7-44D8-BBD7-CCE9431645EC}">
                        <a14:shadowObscured xmlns:a14="http://schemas.microsoft.com/office/drawing/2010/main"/>
                      </a:ext>
                    </a:extLst>
                  </pic:spPr>
                </pic:pic>
              </a:graphicData>
            </a:graphic>
          </wp:inline>
        </w:drawing>
      </w:r>
      <w:r w:rsidRPr="003A70B0">
        <w:rPr>
          <w:rFonts w:cstheme="minorHAnsi"/>
          <w:szCs w:val="24"/>
        </w:rPr>
        <w:br w:type="textWrapping" w:clear="all"/>
        <w:t>Avots: DI plāna 2.redakcija, SIA “</w:t>
      </w:r>
      <w:proofErr w:type="spellStart"/>
      <w:r w:rsidRPr="003A70B0">
        <w:rPr>
          <w:rFonts w:cstheme="minorHAnsi"/>
          <w:szCs w:val="24"/>
        </w:rPr>
        <w:t>Safege</w:t>
      </w:r>
      <w:proofErr w:type="spellEnd"/>
      <w:r w:rsidRPr="003A70B0">
        <w:rPr>
          <w:rFonts w:cstheme="minorHAnsi"/>
          <w:szCs w:val="24"/>
        </w:rPr>
        <w:t xml:space="preserve"> Baltija”</w:t>
      </w:r>
    </w:p>
    <w:p w:rsidR="00AB2AB3" w:rsidRPr="003A70B0" w:rsidRDefault="00AB2AB3" w:rsidP="00AB2AB3">
      <w:pPr>
        <w:spacing w:after="0" w:line="240" w:lineRule="auto"/>
        <w:jc w:val="center"/>
        <w:rPr>
          <w:rFonts w:cstheme="minorHAnsi"/>
          <w:szCs w:val="24"/>
        </w:rPr>
      </w:pPr>
    </w:p>
    <w:p w:rsidR="00AB2AB3" w:rsidRPr="003A70B0" w:rsidRDefault="00AB2AB3" w:rsidP="00AB2AB3">
      <w:pPr>
        <w:spacing w:after="0" w:line="240" w:lineRule="auto"/>
        <w:jc w:val="both"/>
        <w:rPr>
          <w:rFonts w:cstheme="minorHAnsi"/>
          <w:b/>
          <w:szCs w:val="24"/>
        </w:rPr>
      </w:pPr>
      <w:r>
        <w:rPr>
          <w:rFonts w:cstheme="minorHAnsi"/>
          <w:b/>
          <w:szCs w:val="24"/>
        </w:rPr>
        <w:t>B</w:t>
      </w:r>
      <w:r w:rsidRPr="003A70B0">
        <w:rPr>
          <w:rFonts w:cstheme="minorHAnsi"/>
          <w:b/>
          <w:szCs w:val="24"/>
        </w:rPr>
        <w:t>ērniem ar funkcionāliem traucējumiem</w:t>
      </w:r>
      <w:r>
        <w:rPr>
          <w:rFonts w:cstheme="minorHAnsi"/>
          <w:b/>
          <w:szCs w:val="24"/>
        </w:rPr>
        <w:t xml:space="preserve"> (FT)</w:t>
      </w:r>
    </w:p>
    <w:p w:rsidR="00AB2AB3" w:rsidRPr="003A70B0" w:rsidRDefault="00AB2AB3" w:rsidP="00AB2AB3">
      <w:pPr>
        <w:spacing w:after="0" w:line="240" w:lineRule="auto"/>
        <w:jc w:val="both"/>
        <w:rPr>
          <w:rFonts w:cstheme="minorHAnsi"/>
          <w:szCs w:val="24"/>
        </w:rPr>
      </w:pPr>
      <w:r>
        <w:rPr>
          <w:rFonts w:cstheme="minorHAnsi"/>
          <w:szCs w:val="24"/>
        </w:rPr>
        <w:t>2017.gada 1.janvārī Kurzemes plānošanas reģionā dzīvoja 1176</w:t>
      </w:r>
      <w:r w:rsidRPr="003A70B0">
        <w:rPr>
          <w:rFonts w:cstheme="minorHAnsi"/>
          <w:szCs w:val="24"/>
        </w:rPr>
        <w:t xml:space="preserve"> bērni ar funkcionāliem traucējumiem</w:t>
      </w:r>
      <w:r>
        <w:rPr>
          <w:rFonts w:cstheme="minorHAnsi"/>
          <w:szCs w:val="24"/>
        </w:rPr>
        <w:t>, kuriem</w:t>
      </w:r>
      <w:r w:rsidRPr="003A70B0">
        <w:rPr>
          <w:rFonts w:cstheme="minorHAnsi"/>
          <w:szCs w:val="24"/>
        </w:rPr>
        <w:t xml:space="preserve"> </w:t>
      </w:r>
      <w:r>
        <w:rPr>
          <w:rFonts w:cstheme="minorHAnsi"/>
          <w:szCs w:val="24"/>
        </w:rPr>
        <w:t>ir noteikta individualitāte un tāpēc nepieciešams atbalsts</w:t>
      </w:r>
      <w:r w:rsidRPr="003A70B0">
        <w:rPr>
          <w:rFonts w:cstheme="minorHAnsi"/>
          <w:szCs w:val="24"/>
        </w:rPr>
        <w:t xml:space="preserve"> pēc iespējas tuvāk to dzīves vietai</w:t>
      </w:r>
      <w:r>
        <w:rPr>
          <w:rFonts w:cstheme="minorHAnsi"/>
          <w:szCs w:val="24"/>
        </w:rPr>
        <w:t xml:space="preserve"> kā bērnam, tā viņa ģimenei</w:t>
      </w:r>
      <w:r w:rsidRPr="003A70B0">
        <w:rPr>
          <w:rFonts w:cstheme="minorHAnsi"/>
          <w:szCs w:val="24"/>
        </w:rPr>
        <w:t xml:space="preserve">. </w:t>
      </w:r>
      <w:r>
        <w:rPr>
          <w:rFonts w:cstheme="minorHAnsi"/>
          <w:szCs w:val="24"/>
        </w:rPr>
        <w:t xml:space="preserve">Kurzemes reģiona </w:t>
      </w:r>
      <w:r w:rsidRPr="003A70B0">
        <w:rPr>
          <w:rFonts w:cstheme="minorHAnsi"/>
          <w:szCs w:val="24"/>
        </w:rPr>
        <w:t>DI plānā</w:t>
      </w:r>
      <w:r>
        <w:rPr>
          <w:rFonts w:cstheme="minorHAnsi"/>
          <w:szCs w:val="24"/>
        </w:rPr>
        <w:t xml:space="preserve"> iekļauti risinājumi gan jaunu sabiedrībā balstītu sociālo</w:t>
      </w:r>
      <w:r w:rsidRPr="003A70B0">
        <w:rPr>
          <w:rFonts w:cstheme="minorHAnsi"/>
          <w:szCs w:val="24"/>
        </w:rPr>
        <w:t xml:space="preserve"> </w:t>
      </w:r>
      <w:r>
        <w:rPr>
          <w:rFonts w:cstheme="minorHAnsi"/>
          <w:szCs w:val="24"/>
        </w:rPr>
        <w:t>pakalpojumu izveidei, gan esošo paplašināšanai</w:t>
      </w:r>
      <w:r w:rsidRPr="003A70B0">
        <w:rPr>
          <w:rFonts w:cstheme="minorHAnsi"/>
          <w:szCs w:val="24"/>
        </w:rPr>
        <w:t xml:space="preserve">. </w:t>
      </w:r>
      <w:r>
        <w:rPr>
          <w:rFonts w:cstheme="minorHAnsi"/>
          <w:szCs w:val="24"/>
        </w:rPr>
        <w:t>P</w:t>
      </w:r>
      <w:r w:rsidRPr="003A70B0">
        <w:rPr>
          <w:rFonts w:cstheme="minorHAnsi"/>
          <w:szCs w:val="24"/>
        </w:rPr>
        <w:t xml:space="preserve">iemēram, Talsu novadā tiks </w:t>
      </w:r>
      <w:r>
        <w:rPr>
          <w:rFonts w:cstheme="minorHAnsi"/>
          <w:szCs w:val="24"/>
        </w:rPr>
        <w:t xml:space="preserve">veidots </w:t>
      </w:r>
      <w:r w:rsidRPr="003A70B0">
        <w:rPr>
          <w:rFonts w:cstheme="minorHAnsi"/>
          <w:szCs w:val="24"/>
        </w:rPr>
        <w:t>“</w:t>
      </w:r>
      <w:r>
        <w:rPr>
          <w:rFonts w:cstheme="minorHAnsi"/>
          <w:szCs w:val="24"/>
        </w:rPr>
        <w:t>a</w:t>
      </w:r>
      <w:r w:rsidRPr="003A70B0">
        <w:rPr>
          <w:rFonts w:cstheme="minorHAnsi"/>
          <w:szCs w:val="24"/>
        </w:rPr>
        <w:t>telpas brīža” pakalpojum</w:t>
      </w:r>
      <w:r>
        <w:rPr>
          <w:rFonts w:cstheme="minorHAnsi"/>
          <w:szCs w:val="24"/>
        </w:rPr>
        <w:t>s</w:t>
      </w:r>
      <w:r w:rsidRPr="003A70B0">
        <w:rPr>
          <w:rFonts w:cstheme="minorHAnsi"/>
          <w:szCs w:val="24"/>
        </w:rPr>
        <w:t xml:space="preserve"> 50 bērnu </w:t>
      </w:r>
      <w:r>
        <w:rPr>
          <w:rFonts w:cstheme="minorHAnsi"/>
          <w:szCs w:val="24"/>
        </w:rPr>
        <w:t xml:space="preserve">ar FT </w:t>
      </w:r>
      <w:r w:rsidRPr="003A70B0">
        <w:rPr>
          <w:rFonts w:cstheme="minorHAnsi"/>
          <w:szCs w:val="24"/>
        </w:rPr>
        <w:t>vecākiem</w:t>
      </w:r>
      <w:r>
        <w:rPr>
          <w:rFonts w:cstheme="minorHAnsi"/>
          <w:szCs w:val="24"/>
        </w:rPr>
        <w:t xml:space="preserve">, savukārt </w:t>
      </w:r>
      <w:r w:rsidRPr="003A70B0">
        <w:rPr>
          <w:rFonts w:cstheme="minorHAnsi"/>
          <w:szCs w:val="24"/>
        </w:rPr>
        <w:t>Kuldī</w:t>
      </w:r>
      <w:r>
        <w:rPr>
          <w:rFonts w:cstheme="minorHAnsi"/>
          <w:szCs w:val="24"/>
        </w:rPr>
        <w:t>gas, Aizputes, Saldus novados</w:t>
      </w:r>
      <w:r w:rsidRPr="003A70B0">
        <w:rPr>
          <w:rFonts w:cstheme="minorHAnsi"/>
          <w:szCs w:val="24"/>
        </w:rPr>
        <w:t xml:space="preserve"> </w:t>
      </w:r>
      <w:r>
        <w:rPr>
          <w:rFonts w:cstheme="minorHAnsi"/>
          <w:szCs w:val="24"/>
        </w:rPr>
        <w:t>un Ventspilī</w:t>
      </w:r>
      <w:r w:rsidRPr="003A70B0">
        <w:rPr>
          <w:rFonts w:cstheme="minorHAnsi"/>
          <w:szCs w:val="24"/>
        </w:rPr>
        <w:t xml:space="preserve"> </w:t>
      </w:r>
      <w:r>
        <w:rPr>
          <w:rFonts w:cstheme="minorHAnsi"/>
          <w:szCs w:val="24"/>
        </w:rPr>
        <w:t xml:space="preserve">tiks uzlabota </w:t>
      </w:r>
      <w:r w:rsidRPr="003F5611">
        <w:rPr>
          <w:rFonts w:cstheme="minorHAnsi"/>
          <w:szCs w:val="24"/>
        </w:rPr>
        <w:t xml:space="preserve">sociālās rehabilitācijas pakalpojumu </w:t>
      </w:r>
      <w:proofErr w:type="spellStart"/>
      <w:r w:rsidRPr="003F5611">
        <w:rPr>
          <w:rFonts w:cstheme="minorHAnsi"/>
          <w:szCs w:val="24"/>
        </w:rPr>
        <w:t>pieeajmība</w:t>
      </w:r>
      <w:proofErr w:type="spellEnd"/>
      <w:r w:rsidRPr="003F5611">
        <w:rPr>
          <w:rFonts w:cstheme="minorHAnsi"/>
          <w:szCs w:val="24"/>
        </w:rPr>
        <w:t xml:space="preserve"> 156 bērniem ar FT</w:t>
      </w:r>
      <w:r w:rsidRPr="003A70B0">
        <w:rPr>
          <w:rFonts w:cstheme="minorHAnsi"/>
          <w:szCs w:val="24"/>
        </w:rPr>
        <w:t xml:space="preserve">. </w:t>
      </w:r>
    </w:p>
    <w:p w:rsidR="00AB2AB3" w:rsidRPr="003A70B0" w:rsidRDefault="00AB2AB3" w:rsidP="00AB2AB3">
      <w:pPr>
        <w:spacing w:after="0" w:line="240" w:lineRule="auto"/>
        <w:jc w:val="both"/>
        <w:rPr>
          <w:rFonts w:cstheme="minorHAnsi"/>
          <w:szCs w:val="24"/>
        </w:rPr>
      </w:pPr>
    </w:p>
    <w:p w:rsidR="00AB2AB3" w:rsidRPr="003A70B0" w:rsidRDefault="00AB2AB3" w:rsidP="00AB2AB3">
      <w:pPr>
        <w:spacing w:after="0" w:line="240" w:lineRule="auto"/>
        <w:jc w:val="center"/>
        <w:rPr>
          <w:rFonts w:cstheme="minorHAnsi"/>
          <w:szCs w:val="24"/>
        </w:rPr>
      </w:pPr>
      <w:r w:rsidRPr="003A70B0">
        <w:rPr>
          <w:rFonts w:cstheme="minorHAnsi"/>
          <w:noProof/>
          <w:szCs w:val="24"/>
          <w:lang w:eastAsia="lv-LV"/>
        </w:rPr>
        <w:drawing>
          <wp:inline distT="0" distB="0" distL="0" distR="0" wp14:anchorId="5CB645A0" wp14:editId="5799FA05">
            <wp:extent cx="2981739" cy="3157653"/>
            <wp:effectExtent l="0" t="0" r="9525" b="5080"/>
            <wp:docPr id="1" name="Pictur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9189AE2-B973-4779-9578-0B2724840B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9189AE2-B973-4779-9578-0B2724840B65}"/>
                        </a:ext>
                      </a:extLst>
                    </pic:cNvPr>
                    <pic:cNvPicPr>
                      <a:picLocks noChangeAspect="1"/>
                    </pic:cNvPicPr>
                  </pic:nvPicPr>
                  <pic:blipFill rotWithShape="1">
                    <a:blip r:embed="rId7">
                      <a:extLst>
                        <a:ext uri="{28A0092B-C50C-407E-A947-70E740481C1C}">
                          <a14:useLocalDpi xmlns:a14="http://schemas.microsoft.com/office/drawing/2010/main" val="0"/>
                        </a:ext>
                      </a:extLst>
                    </a:blip>
                    <a:srcRect t="7836" b="17329"/>
                    <a:stretch/>
                  </pic:blipFill>
                  <pic:spPr bwMode="auto">
                    <a:xfrm>
                      <a:off x="0" y="0"/>
                      <a:ext cx="2980542" cy="3156385"/>
                    </a:xfrm>
                    <a:prstGeom prst="rect">
                      <a:avLst/>
                    </a:prstGeom>
                    <a:ln>
                      <a:noFill/>
                    </a:ln>
                    <a:extLst>
                      <a:ext uri="{53640926-AAD7-44D8-BBD7-CCE9431645EC}">
                        <a14:shadowObscured xmlns:a14="http://schemas.microsoft.com/office/drawing/2010/main"/>
                      </a:ext>
                    </a:extLst>
                  </pic:spPr>
                </pic:pic>
              </a:graphicData>
            </a:graphic>
          </wp:inline>
        </w:drawing>
      </w:r>
      <w:r w:rsidRPr="003A70B0">
        <w:rPr>
          <w:rFonts w:cstheme="minorHAnsi"/>
          <w:szCs w:val="24"/>
        </w:rPr>
        <w:br w:type="textWrapping" w:clear="all"/>
        <w:t>Avots: DI plāna 2.redakcija, SIA “</w:t>
      </w:r>
      <w:proofErr w:type="spellStart"/>
      <w:r w:rsidRPr="003A70B0">
        <w:rPr>
          <w:rFonts w:cstheme="minorHAnsi"/>
          <w:szCs w:val="24"/>
        </w:rPr>
        <w:t>Safege</w:t>
      </w:r>
      <w:proofErr w:type="spellEnd"/>
      <w:r w:rsidRPr="003A70B0">
        <w:rPr>
          <w:rFonts w:cstheme="minorHAnsi"/>
          <w:szCs w:val="24"/>
        </w:rPr>
        <w:t xml:space="preserve"> Baltija”</w:t>
      </w:r>
    </w:p>
    <w:p w:rsidR="00AB2AB3" w:rsidRPr="003A70B0" w:rsidRDefault="00AB2AB3" w:rsidP="00AB2AB3">
      <w:pPr>
        <w:spacing w:after="0" w:line="240" w:lineRule="auto"/>
        <w:jc w:val="both"/>
        <w:rPr>
          <w:rFonts w:cstheme="minorHAnsi"/>
          <w:szCs w:val="24"/>
        </w:rPr>
      </w:pPr>
    </w:p>
    <w:p w:rsidR="00AB2AB3" w:rsidRDefault="00AB2AB3" w:rsidP="00AB2AB3">
      <w:pPr>
        <w:spacing w:after="0" w:line="240" w:lineRule="auto"/>
        <w:jc w:val="both"/>
        <w:rPr>
          <w:rFonts w:cstheme="minorHAnsi"/>
          <w:b/>
          <w:szCs w:val="24"/>
        </w:rPr>
      </w:pPr>
      <w:r>
        <w:rPr>
          <w:rFonts w:cstheme="minorHAnsi"/>
          <w:b/>
          <w:szCs w:val="24"/>
        </w:rPr>
        <w:t>Personām</w:t>
      </w:r>
      <w:r w:rsidRPr="003A70B0">
        <w:rPr>
          <w:rFonts w:cstheme="minorHAnsi"/>
          <w:b/>
          <w:szCs w:val="24"/>
        </w:rPr>
        <w:t xml:space="preserve"> ar garīga rakstura traucējumiem</w:t>
      </w:r>
      <w:r>
        <w:rPr>
          <w:rFonts w:cstheme="minorHAnsi"/>
          <w:b/>
          <w:szCs w:val="24"/>
        </w:rPr>
        <w:t xml:space="preserve"> (GRT)</w:t>
      </w:r>
    </w:p>
    <w:p w:rsidR="00AB2AB3" w:rsidRDefault="00AB2AB3" w:rsidP="00AB2AB3">
      <w:pPr>
        <w:spacing w:after="0" w:line="240" w:lineRule="auto"/>
        <w:jc w:val="both"/>
        <w:rPr>
          <w:rFonts w:cstheme="minorHAnsi"/>
          <w:szCs w:val="24"/>
        </w:rPr>
      </w:pPr>
      <w:r>
        <w:rPr>
          <w:rFonts w:cstheme="minorHAnsi"/>
          <w:szCs w:val="24"/>
        </w:rPr>
        <w:t xml:space="preserve">2017.gada 1.janvārī </w:t>
      </w:r>
      <w:r w:rsidRPr="003A70B0">
        <w:rPr>
          <w:rFonts w:cstheme="minorHAnsi"/>
          <w:szCs w:val="24"/>
        </w:rPr>
        <w:t>Kurzemes plānošanas reģionā</w:t>
      </w:r>
      <w:r>
        <w:rPr>
          <w:rFonts w:cstheme="minorHAnsi"/>
          <w:szCs w:val="24"/>
        </w:rPr>
        <w:t xml:space="preserve"> dzīvoja</w:t>
      </w:r>
      <w:r w:rsidRPr="003A70B0">
        <w:rPr>
          <w:rFonts w:cstheme="minorHAnsi"/>
          <w:szCs w:val="24"/>
        </w:rPr>
        <w:t xml:space="preserve"> 3133 personas, </w:t>
      </w:r>
      <w:r>
        <w:rPr>
          <w:rFonts w:cstheme="minorHAnsi"/>
          <w:szCs w:val="24"/>
        </w:rPr>
        <w:t>kurām</w:t>
      </w:r>
      <w:r w:rsidRPr="003A70B0">
        <w:rPr>
          <w:rFonts w:cstheme="minorHAnsi"/>
          <w:szCs w:val="24"/>
        </w:rPr>
        <w:t xml:space="preserve"> </w:t>
      </w:r>
      <w:r>
        <w:rPr>
          <w:rFonts w:cstheme="minorHAnsi"/>
          <w:szCs w:val="24"/>
        </w:rPr>
        <w:t xml:space="preserve">noteikta </w:t>
      </w:r>
      <w:r w:rsidRPr="003A70B0">
        <w:rPr>
          <w:rFonts w:cstheme="minorHAnsi"/>
          <w:szCs w:val="24"/>
        </w:rPr>
        <w:t>invaliditāte</w:t>
      </w:r>
      <w:r>
        <w:rPr>
          <w:rFonts w:cstheme="minorHAnsi"/>
          <w:szCs w:val="24"/>
        </w:rPr>
        <w:t xml:space="preserve"> saistībā ar GRT - garīgās attīstības traucējumiem vai psihiskām saslimšanām</w:t>
      </w:r>
      <w:r w:rsidRPr="003A70B0">
        <w:rPr>
          <w:rFonts w:cstheme="minorHAnsi"/>
          <w:szCs w:val="24"/>
        </w:rPr>
        <w:t xml:space="preserve">. </w:t>
      </w:r>
      <w:r>
        <w:rPr>
          <w:rFonts w:cstheme="minorHAnsi"/>
          <w:szCs w:val="24"/>
        </w:rPr>
        <w:t xml:space="preserve">Lai </w:t>
      </w:r>
      <w:r>
        <w:rPr>
          <w:rFonts w:cstheme="minorHAnsi"/>
          <w:szCs w:val="24"/>
        </w:rPr>
        <w:lastRenderedPageBreak/>
        <w:t xml:space="preserve">nodrošinātu pakalpojumus </w:t>
      </w:r>
      <w:proofErr w:type="spellStart"/>
      <w:r>
        <w:rPr>
          <w:rFonts w:cstheme="minorHAnsi"/>
          <w:szCs w:val="24"/>
        </w:rPr>
        <w:t>atbilsoši</w:t>
      </w:r>
      <w:proofErr w:type="spellEnd"/>
      <w:r>
        <w:rPr>
          <w:rFonts w:cstheme="minorHAnsi"/>
          <w:szCs w:val="24"/>
        </w:rPr>
        <w:t xml:space="preserve"> personu ar GRT vajadzībām, </w:t>
      </w:r>
      <w:r w:rsidRPr="003A70B0">
        <w:rPr>
          <w:rFonts w:cstheme="minorHAnsi"/>
          <w:szCs w:val="24"/>
        </w:rPr>
        <w:t>Ventspils, Dundagas, Talsu, Skrundas, Saldus, Rucavas novad</w:t>
      </w:r>
      <w:r>
        <w:rPr>
          <w:rFonts w:cstheme="minorHAnsi"/>
          <w:szCs w:val="24"/>
        </w:rPr>
        <w:t>os</w:t>
      </w:r>
      <w:r w:rsidRPr="003A70B0">
        <w:rPr>
          <w:rFonts w:cstheme="minorHAnsi"/>
          <w:szCs w:val="24"/>
        </w:rPr>
        <w:t xml:space="preserve"> un Liepājā</w:t>
      </w:r>
      <w:r>
        <w:rPr>
          <w:rFonts w:cstheme="minorHAnsi"/>
          <w:szCs w:val="24"/>
        </w:rPr>
        <w:t xml:space="preserve"> tiks veidoti</w:t>
      </w:r>
      <w:r w:rsidRPr="00F02651">
        <w:rPr>
          <w:rFonts w:cstheme="minorHAnsi"/>
          <w:szCs w:val="24"/>
        </w:rPr>
        <w:t xml:space="preserve"> </w:t>
      </w:r>
      <w:r>
        <w:rPr>
          <w:rFonts w:cstheme="minorHAnsi"/>
          <w:szCs w:val="24"/>
        </w:rPr>
        <w:t xml:space="preserve">grupu dzīvokļi 85 personām. Veicinot jēgpilnas dienas pavadīšanu, </w:t>
      </w:r>
      <w:r w:rsidRPr="003A70B0">
        <w:rPr>
          <w:rFonts w:cstheme="minorHAnsi"/>
          <w:szCs w:val="24"/>
        </w:rPr>
        <w:t>Ventspilī, Talsu un Kuldīgas novados</w:t>
      </w:r>
      <w:r>
        <w:rPr>
          <w:rFonts w:cstheme="minorHAnsi"/>
          <w:szCs w:val="24"/>
        </w:rPr>
        <w:t xml:space="preserve"> tiks veidoti dienas aprūpes centri 121 personai un, lai veicinātu personu ar GRT nodarbinātību, Talsu, Kuldīgas, Skrundas, </w:t>
      </w:r>
      <w:r w:rsidRPr="003A70B0">
        <w:rPr>
          <w:rFonts w:cstheme="minorHAnsi"/>
          <w:szCs w:val="24"/>
        </w:rPr>
        <w:t>Saldus novados un Liepājā</w:t>
      </w:r>
      <w:r>
        <w:rPr>
          <w:rFonts w:cstheme="minorHAnsi"/>
          <w:szCs w:val="24"/>
        </w:rPr>
        <w:t xml:space="preserve"> tiks veidotas dažādas specializētās darbnīcas 112 personām.</w:t>
      </w:r>
    </w:p>
    <w:p w:rsidR="00AB2AB3" w:rsidRDefault="00AB2AB3" w:rsidP="00AB2AB3">
      <w:pPr>
        <w:spacing w:after="0" w:line="240" w:lineRule="auto"/>
        <w:jc w:val="both"/>
        <w:rPr>
          <w:rFonts w:cstheme="minorHAnsi"/>
          <w:szCs w:val="24"/>
        </w:rPr>
      </w:pPr>
    </w:p>
    <w:p w:rsidR="00AB2AB3" w:rsidRPr="003A70B0" w:rsidRDefault="00AB2AB3" w:rsidP="00AB2AB3">
      <w:pPr>
        <w:spacing w:after="0" w:line="240" w:lineRule="auto"/>
        <w:jc w:val="both"/>
        <w:rPr>
          <w:rFonts w:cstheme="minorHAnsi"/>
          <w:szCs w:val="24"/>
        </w:rPr>
      </w:pPr>
    </w:p>
    <w:p w:rsidR="00AB2AB3" w:rsidRPr="003A70B0" w:rsidRDefault="00AB2AB3" w:rsidP="00AB2AB3">
      <w:pPr>
        <w:spacing w:after="0" w:line="240" w:lineRule="auto"/>
        <w:jc w:val="center"/>
        <w:rPr>
          <w:rFonts w:cstheme="minorHAnsi"/>
          <w:szCs w:val="24"/>
        </w:rPr>
      </w:pPr>
      <w:r w:rsidRPr="003A70B0">
        <w:rPr>
          <w:rFonts w:cstheme="minorHAnsi"/>
          <w:noProof/>
          <w:szCs w:val="24"/>
          <w:lang w:eastAsia="lv-LV"/>
        </w:rPr>
        <w:drawing>
          <wp:inline distT="0" distB="0" distL="0" distR="0" wp14:anchorId="49196510" wp14:editId="6E46E915">
            <wp:extent cx="3348843" cy="3419061"/>
            <wp:effectExtent l="0" t="0" r="4445" b="0"/>
            <wp:docPr id="7" name="Pictur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B33F11E-6BA0-41CE-8DCA-8A50422FA6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B33F11E-6BA0-41CE-8DCA-8A50422FA622}"/>
                        </a:ext>
                      </a:extLst>
                    </pic:cNvPr>
                    <pic:cNvPicPr>
                      <a:picLocks noChangeAspect="1"/>
                    </pic:cNvPicPr>
                  </pic:nvPicPr>
                  <pic:blipFill rotWithShape="1">
                    <a:blip r:embed="rId8">
                      <a:extLst>
                        <a:ext uri="{28A0092B-C50C-407E-A947-70E740481C1C}">
                          <a14:useLocalDpi xmlns:a14="http://schemas.microsoft.com/office/drawing/2010/main" val="0"/>
                        </a:ext>
                      </a:extLst>
                    </a:blip>
                    <a:srcRect t="7910" b="15924"/>
                    <a:stretch/>
                  </pic:blipFill>
                  <pic:spPr bwMode="auto">
                    <a:xfrm>
                      <a:off x="0" y="0"/>
                      <a:ext cx="3352924" cy="3423227"/>
                    </a:xfrm>
                    <a:prstGeom prst="rect">
                      <a:avLst/>
                    </a:prstGeom>
                    <a:ln>
                      <a:noFill/>
                    </a:ln>
                    <a:extLst>
                      <a:ext uri="{53640926-AAD7-44D8-BBD7-CCE9431645EC}">
                        <a14:shadowObscured xmlns:a14="http://schemas.microsoft.com/office/drawing/2010/main"/>
                      </a:ext>
                    </a:extLst>
                  </pic:spPr>
                </pic:pic>
              </a:graphicData>
            </a:graphic>
          </wp:inline>
        </w:drawing>
      </w:r>
      <w:r w:rsidRPr="003A70B0">
        <w:rPr>
          <w:rFonts w:cstheme="minorHAnsi"/>
          <w:szCs w:val="24"/>
        </w:rPr>
        <w:br w:type="textWrapping" w:clear="all"/>
        <w:t>Avots: DI plāna 2.redakcija, SIA “</w:t>
      </w:r>
      <w:proofErr w:type="spellStart"/>
      <w:r w:rsidRPr="003A70B0">
        <w:rPr>
          <w:rFonts w:cstheme="minorHAnsi"/>
          <w:szCs w:val="24"/>
        </w:rPr>
        <w:t>Safege</w:t>
      </w:r>
      <w:proofErr w:type="spellEnd"/>
      <w:r w:rsidRPr="003A70B0">
        <w:rPr>
          <w:rFonts w:cstheme="minorHAnsi"/>
          <w:szCs w:val="24"/>
        </w:rPr>
        <w:t xml:space="preserve"> Baltija”</w:t>
      </w:r>
    </w:p>
    <w:p w:rsidR="00AB2AB3" w:rsidRPr="003A70B0" w:rsidRDefault="00AB2AB3" w:rsidP="00AB2AB3">
      <w:pPr>
        <w:spacing w:after="0" w:line="240" w:lineRule="auto"/>
        <w:jc w:val="both"/>
        <w:rPr>
          <w:rFonts w:cstheme="minorHAnsi"/>
          <w:szCs w:val="24"/>
        </w:rPr>
      </w:pPr>
    </w:p>
    <w:p w:rsidR="00AB2AB3" w:rsidRPr="003C335F" w:rsidRDefault="00AB2AB3" w:rsidP="00AB2AB3">
      <w:pPr>
        <w:spacing w:after="0" w:line="240" w:lineRule="auto"/>
        <w:jc w:val="both"/>
        <w:rPr>
          <w:rFonts w:cstheme="minorHAnsi"/>
          <w:sz w:val="20"/>
          <w:szCs w:val="24"/>
        </w:rPr>
      </w:pPr>
      <w:r w:rsidRPr="003C335F">
        <w:rPr>
          <w:rFonts w:cstheme="minorHAnsi"/>
          <w:sz w:val="20"/>
          <w:szCs w:val="24"/>
        </w:rPr>
        <w:t>* Personas ar garīga rakstura traucējumiem (GRT), bērni ar funkcionāliem traucējumiem (FT) un bērnu namos esošie bērni</w:t>
      </w:r>
    </w:p>
    <w:p w:rsidR="00AB2AB3" w:rsidRPr="003C335F" w:rsidRDefault="00AB2AB3" w:rsidP="00AB2AB3">
      <w:pPr>
        <w:jc w:val="both"/>
        <w:rPr>
          <w:sz w:val="20"/>
        </w:rPr>
      </w:pPr>
      <w:r w:rsidRPr="003C335F">
        <w:rPr>
          <w:sz w:val="20"/>
        </w:rPr>
        <w:t xml:space="preserve">** Sabiedrībā balstīti sociālie pakalpojumi ir sociālie pakalpojumi (sociālais darbs, </w:t>
      </w:r>
      <w:proofErr w:type="spellStart"/>
      <w:r w:rsidRPr="003C335F">
        <w:rPr>
          <w:sz w:val="20"/>
        </w:rPr>
        <w:t>karitatīvais</w:t>
      </w:r>
      <w:proofErr w:type="spellEnd"/>
      <w:r w:rsidRPr="003C335F">
        <w:rPr>
          <w:sz w:val="20"/>
        </w:rPr>
        <w:t xml:space="preserve"> sociālais darbs, sociālā aprūpe, sociālā rehabilitācija vai profesionālā rehabilitācija), kas tiek sniegti visiem iedzīvotājiem ārpus institūcijām. Piemēram, bērna aprūpe audžuģimenē vai dienas centrā, pieaugušo sociālā rehabilitācija grupu dzīvokļos vai specializētās darbnīcās, sociālais darbs ģimenes atbalsta centros.</w:t>
      </w:r>
    </w:p>
    <w:p w:rsidR="00AB2AB3" w:rsidRDefault="00AB2AB3" w:rsidP="00AB2AB3">
      <w:pPr>
        <w:spacing w:after="0" w:line="240" w:lineRule="auto"/>
        <w:jc w:val="both"/>
        <w:rPr>
          <w:rFonts w:cstheme="minorHAnsi"/>
          <w:bCs/>
          <w:szCs w:val="24"/>
          <w:shd w:val="clear" w:color="auto" w:fill="FFFFFF"/>
        </w:rPr>
      </w:pPr>
    </w:p>
    <w:p w:rsidR="00B829BD" w:rsidRPr="003A70B0" w:rsidRDefault="00B829BD" w:rsidP="00AB2AB3">
      <w:pPr>
        <w:spacing w:after="0" w:line="240" w:lineRule="auto"/>
        <w:jc w:val="both"/>
        <w:rPr>
          <w:rFonts w:cstheme="minorHAnsi"/>
          <w:bCs/>
          <w:szCs w:val="24"/>
          <w:shd w:val="clear" w:color="auto" w:fill="FFFFFF"/>
        </w:rPr>
      </w:pPr>
    </w:p>
    <w:p w:rsidR="00AB2AB3" w:rsidRPr="003A70B0" w:rsidRDefault="00AB2AB3" w:rsidP="00AB2AB3">
      <w:pPr>
        <w:pStyle w:val="Paraststmeklis"/>
        <w:shd w:val="clear" w:color="auto" w:fill="FFFFFF"/>
        <w:spacing w:before="0" w:beforeAutospacing="0" w:after="0" w:afterAutospacing="0"/>
        <w:textAlignment w:val="baseline"/>
        <w:rPr>
          <w:rFonts w:asciiTheme="minorHAnsi" w:hAnsiTheme="minorHAnsi" w:cstheme="minorHAnsi"/>
          <w:color w:val="666666"/>
        </w:rPr>
      </w:pPr>
      <w:r w:rsidRPr="003A70B0">
        <w:rPr>
          <w:rFonts w:asciiTheme="minorHAnsi" w:hAnsiTheme="minorHAnsi" w:cstheme="minorHAnsi"/>
        </w:rPr>
        <w:t>Informāciju sagatavoja</w:t>
      </w:r>
      <w:r w:rsidRPr="003A70B0">
        <w:rPr>
          <w:rFonts w:asciiTheme="minorHAnsi" w:hAnsiTheme="minorHAnsi" w:cstheme="minorHAnsi"/>
        </w:rPr>
        <w:br/>
        <w:t>SIA „SAFEGE BALTIJA”</w:t>
      </w:r>
      <w:r w:rsidRPr="003A70B0">
        <w:rPr>
          <w:rFonts w:asciiTheme="minorHAnsi" w:hAnsiTheme="minorHAnsi" w:cstheme="minorHAnsi"/>
          <w:color w:val="666666"/>
        </w:rPr>
        <w:br/>
      </w:r>
      <w:hyperlink r:id="rId9" w:tgtFrame="_blank" w:history="1">
        <w:r w:rsidRPr="003A70B0">
          <w:rPr>
            <w:rStyle w:val="Hipersaite"/>
            <w:rFonts w:asciiTheme="minorHAnsi" w:hAnsiTheme="minorHAnsi" w:cstheme="minorHAnsi"/>
            <w:color w:val="C90C0C"/>
            <w:bdr w:val="none" w:sz="0" w:space="0" w:color="auto" w:frame="1"/>
          </w:rPr>
          <w:t>kurzeme_di@sagefe.lv</w:t>
        </w:r>
      </w:hyperlink>
    </w:p>
    <w:p w:rsidR="00AB2AB3" w:rsidRPr="003A70B0" w:rsidRDefault="00AB2AB3" w:rsidP="00AB2AB3">
      <w:pPr>
        <w:pStyle w:val="Paraststmeklis"/>
        <w:shd w:val="clear" w:color="auto" w:fill="FFFFFF"/>
        <w:spacing w:before="0" w:beforeAutospacing="0" w:after="0" w:afterAutospacing="0"/>
        <w:textAlignment w:val="baseline"/>
        <w:rPr>
          <w:rFonts w:asciiTheme="minorHAnsi" w:hAnsiTheme="minorHAnsi" w:cstheme="minorHAnsi"/>
          <w:color w:val="666666"/>
        </w:rPr>
      </w:pPr>
      <w:r w:rsidRPr="003A70B0">
        <w:rPr>
          <w:rFonts w:asciiTheme="minorHAnsi" w:hAnsiTheme="minorHAnsi" w:cstheme="minorHAnsi"/>
          <w:color w:val="666666"/>
        </w:rPr>
        <w:t> </w:t>
      </w:r>
    </w:p>
    <w:p w:rsidR="00AB2AB3" w:rsidRPr="00012F8A" w:rsidRDefault="00AB2AB3" w:rsidP="00AB2AB3">
      <w:pPr>
        <w:pStyle w:val="Paraststmeklis"/>
        <w:shd w:val="clear" w:color="auto" w:fill="FFFFFF"/>
        <w:spacing w:before="0" w:beforeAutospacing="0" w:after="0" w:afterAutospacing="0"/>
        <w:jc w:val="both"/>
        <w:textAlignment w:val="baseline"/>
        <w:rPr>
          <w:rFonts w:asciiTheme="minorHAnsi" w:hAnsiTheme="minorHAnsi" w:cstheme="minorHAnsi"/>
          <w:color w:val="666666"/>
        </w:rPr>
      </w:pPr>
      <w:r w:rsidRPr="003A70B0">
        <w:rPr>
          <w:rStyle w:val="Izclums"/>
          <w:rFonts w:asciiTheme="minorHAnsi" w:hAnsiTheme="minorHAnsi" w:cstheme="minorHAnsi"/>
          <w:bdr w:val="none" w:sz="0" w:space="0" w:color="auto" w:frame="1"/>
        </w:rPr>
        <w:t xml:space="preserve">Kurzemes reģiona </w:t>
      </w:r>
      <w:proofErr w:type="spellStart"/>
      <w:r w:rsidRPr="003A70B0">
        <w:rPr>
          <w:rStyle w:val="Izclums"/>
          <w:rFonts w:asciiTheme="minorHAnsi" w:hAnsiTheme="minorHAnsi" w:cstheme="minorHAnsi"/>
          <w:bdr w:val="none" w:sz="0" w:space="0" w:color="auto" w:frame="1"/>
        </w:rPr>
        <w:t>deinstitucionalizācijas</w:t>
      </w:r>
      <w:proofErr w:type="spellEnd"/>
      <w:r w:rsidRPr="003A70B0">
        <w:rPr>
          <w:rStyle w:val="Izclums"/>
          <w:rFonts w:asciiTheme="minorHAnsi" w:hAnsiTheme="minorHAnsi" w:cstheme="minorHAnsi"/>
          <w:bdr w:val="none" w:sz="0" w:space="0" w:color="auto" w:frame="1"/>
        </w:rPr>
        <w:t xml:space="preserve"> plāns tiek izstrādāts projekta „Kurzeme visiem” ietvaros, kas tiek īstenots līdz 2022. gadam kā daļa no Latvijā notiekošā </w:t>
      </w:r>
      <w:proofErr w:type="spellStart"/>
      <w:r w:rsidRPr="003A70B0">
        <w:rPr>
          <w:rStyle w:val="Izclums"/>
          <w:rFonts w:asciiTheme="minorHAnsi" w:hAnsiTheme="minorHAnsi" w:cstheme="minorHAnsi"/>
          <w:bdr w:val="none" w:sz="0" w:space="0" w:color="auto" w:frame="1"/>
        </w:rPr>
        <w:t>deinstitucionalizācijas</w:t>
      </w:r>
      <w:proofErr w:type="spellEnd"/>
      <w:r w:rsidRPr="003A70B0">
        <w:rPr>
          <w:rStyle w:val="Izclums"/>
          <w:rFonts w:asciiTheme="minorHAnsi" w:hAnsiTheme="minorHAnsi" w:cstheme="minorHAnsi"/>
          <w:bdr w:val="none" w:sz="0" w:space="0" w:color="auto" w:frame="1"/>
        </w:rPr>
        <w:t xml:space="preserve"> (DI) procesa. DI procesa mērķis ir ilgtermiņā radīt tādu sociālo pakalpojumu un atbalsta sistēmu, kas sniedz sabiedrībā balstītus pakalpojumus un maksimāli samazina ilgstošas sociālās aprūpes institūcijās esošo personu tostarp bērnu skaitu. Vairāk: </w:t>
      </w:r>
      <w:hyperlink r:id="rId10" w:history="1">
        <w:r w:rsidRPr="003A70B0">
          <w:rPr>
            <w:rStyle w:val="Izclums"/>
            <w:rFonts w:asciiTheme="minorHAnsi" w:hAnsiTheme="minorHAnsi" w:cstheme="minorHAnsi"/>
            <w:color w:val="C90C0C"/>
            <w:bdr w:val="none" w:sz="0" w:space="0" w:color="auto" w:frame="1"/>
          </w:rPr>
          <w:t>www.kurzemevisiem.lv</w:t>
        </w:r>
      </w:hyperlink>
      <w:r w:rsidRPr="003A70B0">
        <w:rPr>
          <w:rStyle w:val="Izclums"/>
          <w:rFonts w:asciiTheme="minorHAnsi" w:hAnsiTheme="minorHAnsi" w:cstheme="minorHAnsi"/>
          <w:color w:val="666666"/>
          <w:bdr w:val="none" w:sz="0" w:space="0" w:color="auto" w:frame="1"/>
        </w:rPr>
        <w:t>.</w:t>
      </w:r>
    </w:p>
    <w:p w:rsidR="00AB2AB3" w:rsidRDefault="00AB2AB3" w:rsidP="00AB2AB3">
      <w:pPr>
        <w:spacing w:after="0" w:line="240" w:lineRule="auto"/>
        <w:jc w:val="both"/>
        <w:rPr>
          <w:rFonts w:cstheme="minorHAnsi"/>
          <w:szCs w:val="24"/>
        </w:rPr>
      </w:pPr>
    </w:p>
    <w:p w:rsidR="00AB2AB3" w:rsidRDefault="00AB2AB3" w:rsidP="00AB2AB3">
      <w:pPr>
        <w:spacing w:after="0" w:line="240" w:lineRule="auto"/>
        <w:jc w:val="both"/>
        <w:rPr>
          <w:rFonts w:cstheme="minorHAnsi"/>
          <w:szCs w:val="24"/>
        </w:rPr>
      </w:pPr>
    </w:p>
    <w:p w:rsidR="00C0647E" w:rsidRDefault="00C0647E" w:rsidP="00737F40">
      <w:pPr>
        <w:spacing w:after="0"/>
        <w:jc w:val="both"/>
      </w:pPr>
    </w:p>
    <w:sectPr w:rsidR="00C0647E" w:rsidSect="00944C53">
      <w:pgSz w:w="11906" w:h="16838"/>
      <w:pgMar w:top="1135"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679A"/>
    <w:multiLevelType w:val="hybridMultilevel"/>
    <w:tmpl w:val="B82602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2C6E15"/>
    <w:multiLevelType w:val="hybridMultilevel"/>
    <w:tmpl w:val="E7D440FE"/>
    <w:lvl w:ilvl="0" w:tplc="2984FB3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0D45AF"/>
    <w:multiLevelType w:val="hybridMultilevel"/>
    <w:tmpl w:val="22FC80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D8A20F9"/>
    <w:multiLevelType w:val="hybridMultilevel"/>
    <w:tmpl w:val="2D92BD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0F83C23"/>
    <w:multiLevelType w:val="multilevel"/>
    <w:tmpl w:val="BC42B34E"/>
    <w:lvl w:ilvl="0">
      <w:start w:val="3"/>
      <w:numFmt w:val="decimal"/>
      <w:lvlText w:val="%1."/>
      <w:lvlJc w:val="left"/>
      <w:pPr>
        <w:ind w:left="1080" w:hanging="360"/>
      </w:pPr>
      <w:rPr>
        <w:rFonts w:cs="Times New Roman" w:hint="default"/>
      </w:rPr>
    </w:lvl>
    <w:lvl w:ilvl="1">
      <w:start w:val="1"/>
      <w:numFmt w:val="decimal"/>
      <w:lvlText w:val="%1.%2."/>
      <w:lvlJc w:val="left"/>
      <w:pPr>
        <w:ind w:left="216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468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200" w:hanging="1080"/>
      </w:pPr>
      <w:rPr>
        <w:rFonts w:cs="Times New Roman" w:hint="default"/>
      </w:rPr>
    </w:lvl>
    <w:lvl w:ilvl="6">
      <w:start w:val="1"/>
      <w:numFmt w:val="decimal"/>
      <w:lvlText w:val="%1.%2.%3.%4.%5.%6.%7."/>
      <w:lvlJc w:val="left"/>
      <w:pPr>
        <w:ind w:left="8640" w:hanging="1440"/>
      </w:pPr>
      <w:rPr>
        <w:rFonts w:cs="Times New Roman" w:hint="default"/>
      </w:rPr>
    </w:lvl>
    <w:lvl w:ilvl="7">
      <w:start w:val="1"/>
      <w:numFmt w:val="decimal"/>
      <w:lvlText w:val="%1.%2.%3.%4.%5.%6.%7.%8."/>
      <w:lvlJc w:val="left"/>
      <w:pPr>
        <w:ind w:left="9720" w:hanging="1440"/>
      </w:pPr>
      <w:rPr>
        <w:rFonts w:cs="Times New Roman" w:hint="default"/>
      </w:rPr>
    </w:lvl>
    <w:lvl w:ilvl="8">
      <w:start w:val="1"/>
      <w:numFmt w:val="decimal"/>
      <w:lvlText w:val="%1.%2.%3.%4.%5.%6.%7.%8.%9."/>
      <w:lvlJc w:val="left"/>
      <w:pPr>
        <w:ind w:left="11160" w:hanging="1800"/>
      </w:pPr>
      <w:rPr>
        <w:rFonts w:cs="Times New Roman" w:hint="default"/>
      </w:rPr>
    </w:lvl>
  </w:abstractNum>
  <w:abstractNum w:abstractNumId="5" w15:restartNumberingAfterBreak="0">
    <w:nsid w:val="5B12143B"/>
    <w:multiLevelType w:val="hybridMultilevel"/>
    <w:tmpl w:val="81341DB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B702CC0"/>
    <w:multiLevelType w:val="hybridMultilevel"/>
    <w:tmpl w:val="ABCC2B1E"/>
    <w:lvl w:ilvl="0" w:tplc="2ED6574A">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1F"/>
    <w:rsid w:val="0005212A"/>
    <w:rsid w:val="00086B24"/>
    <w:rsid w:val="000D3777"/>
    <w:rsid w:val="00120F9B"/>
    <w:rsid w:val="00212784"/>
    <w:rsid w:val="002138D9"/>
    <w:rsid w:val="00226E09"/>
    <w:rsid w:val="00255222"/>
    <w:rsid w:val="00260D05"/>
    <w:rsid w:val="002837D6"/>
    <w:rsid w:val="002F002E"/>
    <w:rsid w:val="003009F6"/>
    <w:rsid w:val="00304D3F"/>
    <w:rsid w:val="00332BF3"/>
    <w:rsid w:val="003C0388"/>
    <w:rsid w:val="003D2E02"/>
    <w:rsid w:val="00426152"/>
    <w:rsid w:val="004B2008"/>
    <w:rsid w:val="005A6A10"/>
    <w:rsid w:val="005B50A6"/>
    <w:rsid w:val="005F3229"/>
    <w:rsid w:val="005F779B"/>
    <w:rsid w:val="0062549C"/>
    <w:rsid w:val="0067318F"/>
    <w:rsid w:val="006E0554"/>
    <w:rsid w:val="00713EB1"/>
    <w:rsid w:val="00737F40"/>
    <w:rsid w:val="007832C0"/>
    <w:rsid w:val="007C3975"/>
    <w:rsid w:val="007E55D0"/>
    <w:rsid w:val="00800B9B"/>
    <w:rsid w:val="008A1BBB"/>
    <w:rsid w:val="008B79F7"/>
    <w:rsid w:val="00944C53"/>
    <w:rsid w:val="00993BB6"/>
    <w:rsid w:val="00A152AF"/>
    <w:rsid w:val="00AA748F"/>
    <w:rsid w:val="00AB2AB3"/>
    <w:rsid w:val="00AE1C70"/>
    <w:rsid w:val="00AE6423"/>
    <w:rsid w:val="00AF3F29"/>
    <w:rsid w:val="00B829BD"/>
    <w:rsid w:val="00B84C24"/>
    <w:rsid w:val="00B966C3"/>
    <w:rsid w:val="00BB242A"/>
    <w:rsid w:val="00C0647E"/>
    <w:rsid w:val="00C25721"/>
    <w:rsid w:val="00C4447B"/>
    <w:rsid w:val="00C53F15"/>
    <w:rsid w:val="00D320C7"/>
    <w:rsid w:val="00D3581C"/>
    <w:rsid w:val="00D651AF"/>
    <w:rsid w:val="00DD1E0B"/>
    <w:rsid w:val="00DF2910"/>
    <w:rsid w:val="00DF6E88"/>
    <w:rsid w:val="00E30447"/>
    <w:rsid w:val="00E46577"/>
    <w:rsid w:val="00E532FD"/>
    <w:rsid w:val="00E60166"/>
    <w:rsid w:val="00E84480"/>
    <w:rsid w:val="00E939FA"/>
    <w:rsid w:val="00F302C6"/>
    <w:rsid w:val="00F35F1F"/>
    <w:rsid w:val="00F724F6"/>
    <w:rsid w:val="00F75D82"/>
    <w:rsid w:val="00FB27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0F4A2-FB0B-4033-AABD-45F762EC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
    <w:basedOn w:val="Parasts"/>
    <w:link w:val="SarakstarindkopaRakstz"/>
    <w:uiPriority w:val="99"/>
    <w:qFormat/>
    <w:rsid w:val="005B50A6"/>
    <w:pPr>
      <w:ind w:left="720"/>
      <w:contextualSpacing/>
    </w:pPr>
  </w:style>
  <w:style w:type="character" w:customStyle="1" w:styleId="SarakstarindkopaRakstz">
    <w:name w:val="Saraksta rindkopa Rakstz."/>
    <w:aliases w:val="2 Rakstz."/>
    <w:link w:val="Sarakstarindkopa"/>
    <w:uiPriority w:val="99"/>
    <w:locked/>
    <w:rsid w:val="005B50A6"/>
  </w:style>
  <w:style w:type="character" w:styleId="Komentraatsauce">
    <w:name w:val="annotation reference"/>
    <w:basedOn w:val="Noklusjumarindkopasfonts"/>
    <w:uiPriority w:val="99"/>
    <w:semiHidden/>
    <w:unhideWhenUsed/>
    <w:rsid w:val="00800B9B"/>
    <w:rPr>
      <w:sz w:val="16"/>
      <w:szCs w:val="16"/>
    </w:rPr>
  </w:style>
  <w:style w:type="paragraph" w:styleId="Komentrateksts">
    <w:name w:val="annotation text"/>
    <w:basedOn w:val="Parasts"/>
    <w:link w:val="KomentratekstsRakstz"/>
    <w:uiPriority w:val="99"/>
    <w:semiHidden/>
    <w:unhideWhenUsed/>
    <w:rsid w:val="00800B9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00B9B"/>
    <w:rPr>
      <w:sz w:val="20"/>
      <w:szCs w:val="20"/>
    </w:rPr>
  </w:style>
  <w:style w:type="paragraph" w:styleId="Komentratma">
    <w:name w:val="annotation subject"/>
    <w:basedOn w:val="Komentrateksts"/>
    <w:next w:val="Komentrateksts"/>
    <w:link w:val="KomentratmaRakstz"/>
    <w:uiPriority w:val="99"/>
    <w:semiHidden/>
    <w:unhideWhenUsed/>
    <w:rsid w:val="00800B9B"/>
    <w:rPr>
      <w:b/>
      <w:bCs/>
    </w:rPr>
  </w:style>
  <w:style w:type="character" w:customStyle="1" w:styleId="KomentratmaRakstz">
    <w:name w:val="Komentāra tēma Rakstz."/>
    <w:basedOn w:val="KomentratekstsRakstz"/>
    <w:link w:val="Komentratma"/>
    <w:uiPriority w:val="99"/>
    <w:semiHidden/>
    <w:rsid w:val="00800B9B"/>
    <w:rPr>
      <w:b/>
      <w:bCs/>
      <w:sz w:val="20"/>
      <w:szCs w:val="20"/>
    </w:rPr>
  </w:style>
  <w:style w:type="paragraph" w:styleId="Balonteksts">
    <w:name w:val="Balloon Text"/>
    <w:basedOn w:val="Parasts"/>
    <w:link w:val="BalontekstsRakstz"/>
    <w:uiPriority w:val="99"/>
    <w:semiHidden/>
    <w:unhideWhenUsed/>
    <w:rsid w:val="00800B9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0B9B"/>
    <w:rPr>
      <w:rFonts w:ascii="Tahoma" w:hAnsi="Tahoma" w:cs="Tahoma"/>
      <w:sz w:val="16"/>
      <w:szCs w:val="16"/>
    </w:rPr>
  </w:style>
  <w:style w:type="table" w:styleId="Reatabula">
    <w:name w:val="Table Grid"/>
    <w:basedOn w:val="Parastatabula"/>
    <w:uiPriority w:val="59"/>
    <w:rsid w:val="006E0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AB2A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AB2AB3"/>
    <w:rPr>
      <w:color w:val="0000FF"/>
      <w:u w:val="single"/>
    </w:rPr>
  </w:style>
  <w:style w:type="character" w:styleId="Izclums">
    <w:name w:val="Emphasis"/>
    <w:basedOn w:val="Noklusjumarindkopasfonts"/>
    <w:uiPriority w:val="20"/>
    <w:qFormat/>
    <w:rsid w:val="00AB2A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kurzemevisiem.lv/" TargetMode="External"/><Relationship Id="rId4" Type="http://schemas.openxmlformats.org/officeDocument/2006/relationships/webSettings" Target="webSettings.xml"/><Relationship Id="rId9" Type="http://schemas.openxmlformats.org/officeDocument/2006/relationships/hyperlink" Target="mailto:kurzeme_di@sagef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3168</Words>
  <Characters>1806</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Siliņa</dc:creator>
  <cp:lastModifiedBy>Oskars Zvejs</cp:lastModifiedBy>
  <cp:revision>2</cp:revision>
  <dcterms:created xsi:type="dcterms:W3CDTF">2018-04-10T08:52:00Z</dcterms:created>
  <dcterms:modified xsi:type="dcterms:W3CDTF">2018-04-10T08:52:00Z</dcterms:modified>
</cp:coreProperties>
</file>