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EA58" w14:textId="77777777" w:rsidR="00AE38FB" w:rsidRPr="004B724A" w:rsidRDefault="00AE38FB" w:rsidP="00AE38FB">
      <w:pPr>
        <w:jc w:val="center"/>
        <w:rPr>
          <w:b/>
          <w:color w:val="000000"/>
        </w:rPr>
      </w:pPr>
      <w:commentRangeStart w:id="0"/>
      <w:r w:rsidRPr="004B724A">
        <w:rPr>
          <w:b/>
          <w:color w:val="000000"/>
        </w:rPr>
        <w:t xml:space="preserve">Sadarbības partnera </w:t>
      </w:r>
      <w:commentRangeEnd w:id="0"/>
      <w:r w:rsidR="003915D8">
        <w:rPr>
          <w:rStyle w:val="CommentReference"/>
        </w:rPr>
        <w:commentReference w:id="0"/>
      </w:r>
      <w:r w:rsidRPr="004B724A">
        <w:rPr>
          <w:b/>
          <w:color w:val="000000"/>
        </w:rPr>
        <w:t xml:space="preserve">atskaites veidlapa par atbalstu saņēmušajiem pieaugušajiem nodarbinātajiem 8.4.1. SAM projektā pārskata periodā no </w:t>
      </w:r>
      <w:commentRangeStart w:id="1"/>
      <w:r w:rsidRPr="004B724A">
        <w:rPr>
          <w:b/>
          <w:color w:val="000000"/>
        </w:rPr>
        <w:t xml:space="preserve">DD.MM.GGGG. </w:t>
      </w:r>
      <w:commentRangeEnd w:id="1"/>
      <w:r w:rsidR="003915D8">
        <w:rPr>
          <w:rStyle w:val="CommentReference"/>
        </w:rPr>
        <w:commentReference w:id="1"/>
      </w:r>
      <w:r w:rsidRPr="004B724A">
        <w:rPr>
          <w:b/>
          <w:color w:val="000000"/>
        </w:rPr>
        <w:t xml:space="preserve">līdz </w:t>
      </w:r>
      <w:commentRangeStart w:id="2"/>
      <w:r w:rsidRPr="004B724A">
        <w:rPr>
          <w:b/>
          <w:color w:val="000000"/>
        </w:rPr>
        <w:t>DD.MM.GGGG.</w:t>
      </w:r>
      <w:commentRangeEnd w:id="2"/>
      <w:r w:rsidR="003915D8">
        <w:rPr>
          <w:rStyle w:val="CommentReference"/>
        </w:rPr>
        <w:commentReference w:id="2"/>
      </w:r>
    </w:p>
    <w:p w14:paraId="61EDEEE2" w14:textId="77777777" w:rsidR="00AE38FB" w:rsidRPr="004B724A" w:rsidRDefault="00AE38FB" w:rsidP="00AE38FB">
      <w:pPr>
        <w:jc w:val="center"/>
        <w:rPr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483"/>
        <w:gridCol w:w="1182"/>
        <w:gridCol w:w="1449"/>
        <w:gridCol w:w="1267"/>
        <w:gridCol w:w="1690"/>
        <w:gridCol w:w="4694"/>
        <w:gridCol w:w="1707"/>
      </w:tblGrid>
      <w:tr w:rsidR="00AE38FB" w:rsidRPr="004B724A" w14:paraId="31306FA6" w14:textId="77777777" w:rsidTr="0030414E">
        <w:trPr>
          <w:trHeight w:val="233"/>
          <w:jc w:val="center"/>
        </w:trPr>
        <w:tc>
          <w:tcPr>
            <w:tcW w:w="248" w:type="pct"/>
            <w:vMerge w:val="restart"/>
            <w:shd w:val="clear" w:color="auto" w:fill="auto"/>
            <w:vAlign w:val="center"/>
          </w:tcPr>
          <w:p w14:paraId="7FF247CA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Nr. p.k.</w:t>
            </w:r>
          </w:p>
        </w:tc>
        <w:tc>
          <w:tcPr>
            <w:tcW w:w="1898" w:type="pct"/>
            <w:gridSpan w:val="4"/>
            <w:shd w:val="clear" w:color="auto" w:fill="auto"/>
          </w:tcPr>
          <w:p w14:paraId="0CB8FB9C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Pieaugušā nodarbinātā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2F994074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Konsultācijas ilgums, stundas</w:t>
            </w:r>
          </w:p>
        </w:tc>
        <w:tc>
          <w:tcPr>
            <w:tcW w:w="2258" w:type="pct"/>
            <w:gridSpan w:val="2"/>
            <w:shd w:val="clear" w:color="auto" w:fill="auto"/>
            <w:vAlign w:val="center"/>
          </w:tcPr>
          <w:p w14:paraId="254A5F22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Pieaugušā nodarbinātā apliecinājums par atbalsta saņemšanu</w:t>
            </w:r>
          </w:p>
        </w:tc>
      </w:tr>
      <w:tr w:rsidR="00AE38FB" w:rsidRPr="004B724A" w14:paraId="71AE8A6B" w14:textId="77777777" w:rsidTr="002B2655">
        <w:trPr>
          <w:trHeight w:val="383"/>
          <w:jc w:val="center"/>
        </w:trPr>
        <w:tc>
          <w:tcPr>
            <w:tcW w:w="248" w:type="pct"/>
            <w:vMerge/>
            <w:shd w:val="clear" w:color="auto" w:fill="auto"/>
          </w:tcPr>
          <w:p w14:paraId="2A37F40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F9A2170" w14:textId="147ED04C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Vārds</w:t>
            </w:r>
            <w:r w:rsidR="00D57D68">
              <w:rPr>
                <w:b/>
                <w:color w:val="000000"/>
              </w:rPr>
              <w:t>**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17019E8E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Uzvārds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342C7166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Personas kods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807184B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Tālruņa Nr.</w:t>
            </w:r>
          </w:p>
        </w:tc>
        <w:tc>
          <w:tcPr>
            <w:tcW w:w="596" w:type="pct"/>
            <w:vMerge/>
            <w:shd w:val="clear" w:color="auto" w:fill="auto"/>
          </w:tcPr>
          <w:p w14:paraId="333BBE9A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14:paraId="160BED1E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paraksts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62946333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datums</w:t>
            </w:r>
          </w:p>
        </w:tc>
      </w:tr>
      <w:tr w:rsidR="00AE38FB" w:rsidRPr="004B724A" w14:paraId="54EFDB82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5001247B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1.</w:t>
            </w:r>
          </w:p>
        </w:tc>
        <w:tc>
          <w:tcPr>
            <w:tcW w:w="523" w:type="pct"/>
            <w:shd w:val="clear" w:color="auto" w:fill="auto"/>
          </w:tcPr>
          <w:p w14:paraId="56E15507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1D87DF49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008DC30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597F65F1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0776A134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D12EDE0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A3CAE1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3374ADC8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10C4EFAF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2.</w:t>
            </w:r>
          </w:p>
        </w:tc>
        <w:tc>
          <w:tcPr>
            <w:tcW w:w="523" w:type="pct"/>
            <w:shd w:val="clear" w:color="auto" w:fill="auto"/>
          </w:tcPr>
          <w:p w14:paraId="6E2BBDCD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1F1D4847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416A875C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2ED7BDC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2598173E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56C075D8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3075D4E2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1DF07E68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1E3B96AB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3.</w:t>
            </w:r>
          </w:p>
        </w:tc>
        <w:tc>
          <w:tcPr>
            <w:tcW w:w="523" w:type="pct"/>
            <w:shd w:val="clear" w:color="auto" w:fill="auto"/>
          </w:tcPr>
          <w:p w14:paraId="6F0FDCC2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4E94F8FC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4420B4C9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35C469AC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4B16BF7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42BC9CE9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58DC7E92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45287EDA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2E2E2DAE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4.</w:t>
            </w:r>
          </w:p>
        </w:tc>
        <w:tc>
          <w:tcPr>
            <w:tcW w:w="523" w:type="pct"/>
            <w:shd w:val="clear" w:color="auto" w:fill="auto"/>
          </w:tcPr>
          <w:p w14:paraId="3C9B342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292C314E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1F6C4A37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1867E16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643EA91F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52EAE46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18490A9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3670E431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3D9740EB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5.</w:t>
            </w:r>
          </w:p>
        </w:tc>
        <w:tc>
          <w:tcPr>
            <w:tcW w:w="523" w:type="pct"/>
            <w:shd w:val="clear" w:color="auto" w:fill="auto"/>
          </w:tcPr>
          <w:p w14:paraId="6EA25B6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659944B3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43ED6F8D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06DD5CF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754493BF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2E4F7AD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4FE9A44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0BB6F1DC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23EEFC33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6.</w:t>
            </w:r>
          </w:p>
        </w:tc>
        <w:tc>
          <w:tcPr>
            <w:tcW w:w="523" w:type="pct"/>
            <w:shd w:val="clear" w:color="auto" w:fill="auto"/>
          </w:tcPr>
          <w:p w14:paraId="224E068C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265DF06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7CDCFE40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4512E518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00EBAFB3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CC021A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21D88D71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59A8B344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0469352E" w14:textId="77777777" w:rsidR="00AE38FB" w:rsidRPr="003C0057" w:rsidRDefault="00AE38FB" w:rsidP="0030414E">
            <w:pPr>
              <w:jc w:val="center"/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7.</w:t>
            </w:r>
          </w:p>
        </w:tc>
        <w:tc>
          <w:tcPr>
            <w:tcW w:w="523" w:type="pct"/>
            <w:shd w:val="clear" w:color="auto" w:fill="auto"/>
          </w:tcPr>
          <w:p w14:paraId="5329D849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075B59A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568B8CDF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42A8371B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4A56D67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006E2392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1C573C1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AE38FB" w:rsidRPr="004B724A" w14:paraId="5DF66512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37F2218A" w14:textId="53225027" w:rsidR="00AE38FB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523" w:type="pct"/>
            <w:shd w:val="clear" w:color="auto" w:fill="auto"/>
          </w:tcPr>
          <w:p w14:paraId="5EFD8798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3F47B19A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3C75438D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79AD538F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096B7EE7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7BF01165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43D859B6" w14:textId="77777777" w:rsidR="00AE38FB" w:rsidRPr="003C0057" w:rsidRDefault="00AE38FB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79B21389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13F17F29" w14:textId="6669CDD8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523" w:type="pct"/>
            <w:shd w:val="clear" w:color="auto" w:fill="auto"/>
          </w:tcPr>
          <w:p w14:paraId="32A7FC9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71913B1D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6B95ABB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67E95FC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7F0C161A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0DB8E839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9B18117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42DD83AD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10F8F3B3" w14:textId="040AC3F8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523" w:type="pct"/>
            <w:shd w:val="clear" w:color="auto" w:fill="auto"/>
          </w:tcPr>
          <w:p w14:paraId="39A9C509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40F8CE2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24096684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17AEA03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2144EB5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C046900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03D186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05C6D0FE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3FA47A36" w14:textId="2C0CB52C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</w:t>
            </w:r>
          </w:p>
        </w:tc>
        <w:tc>
          <w:tcPr>
            <w:tcW w:w="523" w:type="pct"/>
            <w:shd w:val="clear" w:color="auto" w:fill="auto"/>
          </w:tcPr>
          <w:p w14:paraId="23F144CF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79E96ED8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0B4E56C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5763989C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22E278B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653E7287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27BC81A8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27723135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374C5446" w14:textId="7E8F15AC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</w:t>
            </w:r>
          </w:p>
        </w:tc>
        <w:tc>
          <w:tcPr>
            <w:tcW w:w="523" w:type="pct"/>
            <w:shd w:val="clear" w:color="auto" w:fill="auto"/>
          </w:tcPr>
          <w:p w14:paraId="0649DD8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5AC3F3D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2A6F0FC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01BCD209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43D2521A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76A47713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1E791D9F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34FC0840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48338C0C" w14:textId="523F6CA2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523" w:type="pct"/>
            <w:shd w:val="clear" w:color="auto" w:fill="auto"/>
          </w:tcPr>
          <w:p w14:paraId="7C90844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4F302C94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062B030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3B1F2404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34B58173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3233E40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0BBEE24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377DC76A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43D55126" w14:textId="66375426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14.</w:t>
            </w:r>
          </w:p>
        </w:tc>
        <w:tc>
          <w:tcPr>
            <w:tcW w:w="523" w:type="pct"/>
            <w:shd w:val="clear" w:color="auto" w:fill="auto"/>
          </w:tcPr>
          <w:p w14:paraId="6996E6BC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5D1EA28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7B4DBB8E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70211E5C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41969F4A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4A69BB11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553A4534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32655956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6F57FA15" w14:textId="73A412B7" w:rsidR="002B2655" w:rsidRPr="003C0057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</w:t>
            </w:r>
          </w:p>
        </w:tc>
        <w:tc>
          <w:tcPr>
            <w:tcW w:w="523" w:type="pct"/>
            <w:shd w:val="clear" w:color="auto" w:fill="auto"/>
          </w:tcPr>
          <w:p w14:paraId="1D21E9E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3916D02E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3B3D5452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3AD89EF0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23562C2A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3BE90BF8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767CF239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  <w:tr w:rsidR="002B2655" w:rsidRPr="004B724A" w14:paraId="6A3BE5AC" w14:textId="77777777" w:rsidTr="002B2655">
        <w:trPr>
          <w:trHeight w:val="452"/>
          <w:jc w:val="center"/>
        </w:trPr>
        <w:tc>
          <w:tcPr>
            <w:tcW w:w="248" w:type="pct"/>
            <w:shd w:val="clear" w:color="auto" w:fill="auto"/>
          </w:tcPr>
          <w:p w14:paraId="21819F55" w14:textId="38307AC6" w:rsidR="002B2655" w:rsidRDefault="002B2655" w:rsidP="0030414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…</w:t>
            </w:r>
          </w:p>
        </w:tc>
        <w:tc>
          <w:tcPr>
            <w:tcW w:w="523" w:type="pct"/>
            <w:shd w:val="clear" w:color="auto" w:fill="auto"/>
          </w:tcPr>
          <w:p w14:paraId="04CA4EB5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17" w:type="pct"/>
            <w:shd w:val="clear" w:color="auto" w:fill="auto"/>
          </w:tcPr>
          <w:p w14:paraId="603A2C8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11" w:type="pct"/>
            <w:shd w:val="clear" w:color="auto" w:fill="auto"/>
          </w:tcPr>
          <w:p w14:paraId="32CB086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6" w:type="pct"/>
            <w:shd w:val="clear" w:color="auto" w:fill="auto"/>
          </w:tcPr>
          <w:p w14:paraId="320EAE63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596" w:type="pct"/>
            <w:shd w:val="clear" w:color="auto" w:fill="auto"/>
          </w:tcPr>
          <w:p w14:paraId="7844EAAC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56" w:type="pct"/>
            <w:shd w:val="clear" w:color="auto" w:fill="auto"/>
          </w:tcPr>
          <w:p w14:paraId="06EBB91B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02" w:type="pct"/>
            <w:shd w:val="clear" w:color="auto" w:fill="auto"/>
          </w:tcPr>
          <w:p w14:paraId="1C28F496" w14:textId="77777777" w:rsidR="002B2655" w:rsidRPr="003C0057" w:rsidRDefault="002B2655" w:rsidP="0030414E">
            <w:pPr>
              <w:jc w:val="both"/>
              <w:rPr>
                <w:b/>
                <w:color w:val="000000"/>
              </w:rPr>
            </w:pPr>
          </w:p>
        </w:tc>
      </w:tr>
    </w:tbl>
    <w:p w14:paraId="50904818" w14:textId="77777777" w:rsidR="00AE38FB" w:rsidRPr="004B724A" w:rsidRDefault="00AE38FB" w:rsidP="00AE38FB">
      <w:pPr>
        <w:rPr>
          <w:b/>
          <w:color w:val="000000"/>
        </w:rPr>
      </w:pPr>
      <w:r w:rsidRPr="004B724A">
        <w:rPr>
          <w:b/>
          <w:color w:val="000000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1"/>
        <w:gridCol w:w="3478"/>
        <w:gridCol w:w="3181"/>
        <w:gridCol w:w="3224"/>
      </w:tblGrid>
      <w:tr w:rsidR="00AE38FB" w:rsidRPr="004B724A" w14:paraId="5E198166" w14:textId="77777777" w:rsidTr="0030414E">
        <w:trPr>
          <w:trHeight w:val="555"/>
          <w:jc w:val="center"/>
        </w:trPr>
        <w:tc>
          <w:tcPr>
            <w:tcW w:w="14923" w:type="dxa"/>
            <w:gridSpan w:val="4"/>
            <w:shd w:val="clear" w:color="auto" w:fill="auto"/>
            <w:vAlign w:val="center"/>
          </w:tcPr>
          <w:p w14:paraId="4A2A916B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Pašvaldības apliecinājums par pārskata periodā sniegto atbalstu pieaugušajiem nodarbinātajiem:</w:t>
            </w:r>
          </w:p>
        </w:tc>
      </w:tr>
      <w:tr w:rsidR="00AE38FB" w:rsidRPr="004B724A" w14:paraId="1FF7BD5E" w14:textId="77777777" w:rsidTr="0030414E">
        <w:trPr>
          <w:trHeight w:val="226"/>
          <w:jc w:val="center"/>
        </w:trPr>
        <w:tc>
          <w:tcPr>
            <w:tcW w:w="4501" w:type="dxa"/>
            <w:shd w:val="clear" w:color="auto" w:fill="auto"/>
          </w:tcPr>
          <w:p w14:paraId="1386037E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Amats</w:t>
            </w:r>
          </w:p>
        </w:tc>
        <w:tc>
          <w:tcPr>
            <w:tcW w:w="3672" w:type="dxa"/>
            <w:shd w:val="clear" w:color="auto" w:fill="auto"/>
          </w:tcPr>
          <w:p w14:paraId="1740BFA9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Vārds, Uzvārds</w:t>
            </w:r>
          </w:p>
        </w:tc>
        <w:tc>
          <w:tcPr>
            <w:tcW w:w="3348" w:type="dxa"/>
            <w:shd w:val="clear" w:color="auto" w:fill="auto"/>
          </w:tcPr>
          <w:p w14:paraId="2A05636E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Paraksts</w:t>
            </w:r>
          </w:p>
        </w:tc>
        <w:tc>
          <w:tcPr>
            <w:tcW w:w="3402" w:type="dxa"/>
            <w:shd w:val="clear" w:color="auto" w:fill="auto"/>
          </w:tcPr>
          <w:p w14:paraId="2BC42CCF" w14:textId="77777777" w:rsidR="00AE38FB" w:rsidRPr="003C0057" w:rsidRDefault="00AE38FB" w:rsidP="0030414E">
            <w:pPr>
              <w:rPr>
                <w:b/>
                <w:color w:val="000000"/>
              </w:rPr>
            </w:pPr>
            <w:r w:rsidRPr="003C0057">
              <w:rPr>
                <w:b/>
                <w:color w:val="000000"/>
              </w:rPr>
              <w:t>Datums</w:t>
            </w:r>
          </w:p>
        </w:tc>
      </w:tr>
      <w:tr w:rsidR="00AE38FB" w:rsidRPr="004B724A" w14:paraId="5592E013" w14:textId="77777777" w:rsidTr="0030414E">
        <w:trPr>
          <w:trHeight w:val="457"/>
          <w:jc w:val="center"/>
        </w:trPr>
        <w:tc>
          <w:tcPr>
            <w:tcW w:w="4501" w:type="dxa"/>
            <w:shd w:val="clear" w:color="auto" w:fill="auto"/>
          </w:tcPr>
          <w:p w14:paraId="7E289384" w14:textId="77777777" w:rsidR="00AE38FB" w:rsidRPr="003C0057" w:rsidRDefault="00AE38FB" w:rsidP="0030414E">
            <w:pPr>
              <w:rPr>
                <w:b/>
                <w:color w:val="000000"/>
              </w:rPr>
            </w:pPr>
            <w:commentRangeStart w:id="3"/>
            <w:r w:rsidRPr="003C0057">
              <w:rPr>
                <w:b/>
              </w:rPr>
              <w:t xml:space="preserve">Sadarbības partneru īstenošanas personāls </w:t>
            </w:r>
            <w:r w:rsidRPr="003C0057">
              <w:rPr>
                <w:b/>
                <w:color w:val="000000"/>
              </w:rPr>
              <w:t>*</w:t>
            </w:r>
            <w:commentRangeEnd w:id="3"/>
            <w:r w:rsidR="002D0C37">
              <w:rPr>
                <w:rStyle w:val="CommentReference"/>
              </w:rPr>
              <w:commentReference w:id="3"/>
            </w:r>
          </w:p>
        </w:tc>
        <w:tc>
          <w:tcPr>
            <w:tcW w:w="3672" w:type="dxa"/>
            <w:shd w:val="clear" w:color="auto" w:fill="auto"/>
          </w:tcPr>
          <w:p w14:paraId="75B01D05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14:paraId="00564294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0844E1B0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</w:tr>
      <w:tr w:rsidR="00AE38FB" w:rsidRPr="004B724A" w14:paraId="17FB0038" w14:textId="77777777" w:rsidTr="0030414E">
        <w:trPr>
          <w:trHeight w:val="457"/>
          <w:jc w:val="center"/>
        </w:trPr>
        <w:tc>
          <w:tcPr>
            <w:tcW w:w="4501" w:type="dxa"/>
            <w:shd w:val="clear" w:color="auto" w:fill="auto"/>
          </w:tcPr>
          <w:p w14:paraId="7EAB1786" w14:textId="77777777" w:rsidR="00AE38FB" w:rsidRPr="003C0057" w:rsidRDefault="00AE38FB" w:rsidP="0030414E">
            <w:pPr>
              <w:rPr>
                <w:b/>
                <w:color w:val="000000"/>
              </w:rPr>
            </w:pPr>
            <w:commentRangeStart w:id="4"/>
            <w:r w:rsidRPr="003C0057">
              <w:rPr>
                <w:b/>
                <w:color w:val="000000"/>
              </w:rPr>
              <w:t>Pašvaldības atbildīgā amatpersona*</w:t>
            </w:r>
            <w:commentRangeEnd w:id="4"/>
            <w:r w:rsidR="00CF20BB">
              <w:rPr>
                <w:rStyle w:val="CommentReference"/>
              </w:rPr>
              <w:commentReference w:id="4"/>
            </w:r>
          </w:p>
        </w:tc>
        <w:tc>
          <w:tcPr>
            <w:tcW w:w="3672" w:type="dxa"/>
            <w:shd w:val="clear" w:color="auto" w:fill="auto"/>
          </w:tcPr>
          <w:p w14:paraId="04B27069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  <w:tc>
          <w:tcPr>
            <w:tcW w:w="3348" w:type="dxa"/>
            <w:shd w:val="clear" w:color="auto" w:fill="auto"/>
          </w:tcPr>
          <w:p w14:paraId="4C8F2204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14:paraId="2A18E44C" w14:textId="77777777" w:rsidR="00AE38FB" w:rsidRPr="003C0057" w:rsidRDefault="00AE38FB" w:rsidP="0030414E">
            <w:pPr>
              <w:rPr>
                <w:b/>
                <w:color w:val="000000"/>
              </w:rPr>
            </w:pPr>
          </w:p>
        </w:tc>
      </w:tr>
    </w:tbl>
    <w:p w14:paraId="13441832" w14:textId="469D1E28" w:rsidR="00AE38FB" w:rsidRDefault="00AE38FB" w:rsidP="00AE38FB">
      <w:pP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</w:t>
      </w:r>
      <w:r w:rsidRPr="004B724A">
        <w:rPr>
          <w:b/>
          <w:color w:val="000000"/>
          <w:sz w:val="18"/>
        </w:rPr>
        <w:t xml:space="preserve"> *atbilstoši sadarbības līgumam</w:t>
      </w:r>
    </w:p>
    <w:p w14:paraId="36610451" w14:textId="77777777" w:rsidR="009F10B2" w:rsidRDefault="009F10B2" w:rsidP="00027B11">
      <w:pPr>
        <w:jc w:val="center"/>
      </w:pPr>
    </w:p>
    <w:p w14:paraId="3D70D8F1" w14:textId="77777777" w:rsidR="00A27DC4" w:rsidRPr="00181D95" w:rsidRDefault="00A27DC4" w:rsidP="00027B11">
      <w:pPr>
        <w:jc w:val="center"/>
        <w:rPr>
          <w:sz w:val="20"/>
          <w:szCs w:val="20"/>
        </w:rPr>
      </w:pPr>
    </w:p>
    <w:p w14:paraId="2AB4A1B6" w14:textId="41271C8B" w:rsidR="00A27DC4" w:rsidRPr="00181D95" w:rsidRDefault="00D57D68" w:rsidP="00A27DC4">
      <w:pPr>
        <w:jc w:val="both"/>
        <w:rPr>
          <w:sz w:val="20"/>
          <w:szCs w:val="20"/>
        </w:rPr>
      </w:pPr>
      <w:r>
        <w:rPr>
          <w:sz w:val="20"/>
          <w:szCs w:val="20"/>
        </w:rPr>
        <w:t>**</w:t>
      </w:r>
      <w:r w:rsidR="00A27DC4" w:rsidRPr="00181D95">
        <w:rPr>
          <w:sz w:val="20"/>
          <w:szCs w:val="20"/>
        </w:rPr>
        <w:t>Šajā veidlapā pieprasītie personas d</w:t>
      </w:r>
      <w:r w:rsidR="00BE039A" w:rsidRPr="00181D95">
        <w:rPr>
          <w:sz w:val="20"/>
          <w:szCs w:val="20"/>
        </w:rPr>
        <w:t>ati</w:t>
      </w:r>
      <w:r w:rsidR="00A27DC4" w:rsidRPr="00181D95">
        <w:rPr>
          <w:sz w:val="20"/>
          <w:szCs w:val="20"/>
        </w:rPr>
        <w:t xml:space="preserve"> tiks apstrādāti Valsts izglītības attīstības aģentūras īstenotā ESF projekta Nr.8.4.1.0/16/I/001 “Nodarbināto personu profesionālās kompetences pilnveide” ietvaros. </w:t>
      </w:r>
      <w:r w:rsidR="00A27DC4" w:rsidRPr="00181D95">
        <w:rPr>
          <w:noProof/>
          <w:sz w:val="20"/>
          <w:szCs w:val="20"/>
        </w:rPr>
        <w:t xml:space="preserve">Personas datu apstrāde notiek atbilstoši </w:t>
      </w:r>
      <w:r w:rsidR="00A27DC4" w:rsidRPr="00181D95">
        <w:rPr>
          <w:bCs/>
          <w:sz w:val="20"/>
          <w:szCs w:val="20"/>
        </w:rPr>
        <w:t>Eiropas Parlamenta un Padomes 2016.gada 27.aprīļa Regulai (ES) Nr.2016/679 par fizisku personu aizsardzību attiecībā uz personas datu apstrādi un šādu datu brīvu apriti un ar ko atceļ Direktīvu 95/46/EK (Vispārīgā datu aizsardzības regula) un personas dati normatīvajos aktos noteiktajā kārtībā tiks nodoti ESF sadarbības iestādei – Centrālajai finanšu un līgumu aģentūrai (datu pārzinis) un citām Eiropas Savienības fondu vadībā iesaistītajām nacionālajām iestādēm, Latvijas un starptautiskajām revīzija</w:t>
      </w:r>
      <w:r w:rsidR="00B014A7" w:rsidRPr="00181D95">
        <w:rPr>
          <w:bCs/>
          <w:sz w:val="20"/>
          <w:szCs w:val="20"/>
        </w:rPr>
        <w:t xml:space="preserve">s iestādēm, kuru kompetencē ir </w:t>
      </w:r>
      <w:r w:rsidR="00A27DC4" w:rsidRPr="00181D95">
        <w:rPr>
          <w:bCs/>
          <w:sz w:val="20"/>
          <w:szCs w:val="20"/>
        </w:rPr>
        <w:t>Eiropas Savienības fondu izdevumu un līgumsaistību izpildes kontrole un revīzija, pēc to pieprasījuma.</w:t>
      </w:r>
      <w:r w:rsidR="003915D8" w:rsidRPr="00181D95">
        <w:rPr>
          <w:bCs/>
          <w:sz w:val="20"/>
          <w:szCs w:val="20"/>
        </w:rPr>
        <w:t xml:space="preserve"> </w:t>
      </w:r>
      <w:r w:rsidR="003915D8" w:rsidRPr="00181D95">
        <w:rPr>
          <w:sz w:val="20"/>
          <w:szCs w:val="20"/>
        </w:rPr>
        <w:t>Informācija par  personas datu apstrādi Valsts izglītības attīstības aģentūrā atrodama</w:t>
      </w:r>
      <w:r w:rsidR="003915D8" w:rsidRPr="00181D95">
        <w:rPr>
          <w:b/>
          <w:sz w:val="20"/>
          <w:szCs w:val="20"/>
        </w:rPr>
        <w:t xml:space="preserve"> </w:t>
      </w:r>
      <w:hyperlink r:id="rId9" w:history="1">
        <w:r w:rsidR="003915D8" w:rsidRPr="00181D95">
          <w:rPr>
            <w:rStyle w:val="Hyperlink"/>
            <w:sz w:val="20"/>
            <w:szCs w:val="20"/>
          </w:rPr>
          <w:t>http://viaa.gov.lv/lat/viaa/privatuma_politika/</w:t>
        </w:r>
      </w:hyperlink>
    </w:p>
    <w:p w14:paraId="2D3F5877" w14:textId="77777777" w:rsidR="00A27DC4" w:rsidRDefault="00A27DC4" w:rsidP="00027B11">
      <w:pPr>
        <w:jc w:val="center"/>
      </w:pPr>
    </w:p>
    <w:sectPr w:rsidR="00A27DC4" w:rsidSect="00AE38FB">
      <w:headerReference w:type="default" r:id="rId10"/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gnese Rone" w:date="2020-09-18T14:21:00Z" w:initials="AR">
    <w:p w14:paraId="0DEF7AAB" w14:textId="77777777" w:rsidR="003915D8" w:rsidRDefault="003915D8" w:rsidP="003915D8">
      <w:pPr>
        <w:pStyle w:val="CommentText"/>
      </w:pPr>
      <w:r>
        <w:rPr>
          <w:rStyle w:val="CommentReference"/>
        </w:rPr>
        <w:annotationRef/>
      </w:r>
      <w:r>
        <w:t>Šeit norāda pašvaldības nosaukumu.</w:t>
      </w:r>
    </w:p>
    <w:p w14:paraId="6DC85B0F" w14:textId="73653D59" w:rsidR="003915D8" w:rsidRDefault="003915D8">
      <w:pPr>
        <w:pStyle w:val="CommentText"/>
      </w:pPr>
    </w:p>
  </w:comment>
  <w:comment w:id="1" w:author="Agnese Rone" w:date="2020-09-18T14:21:00Z" w:initials="AR">
    <w:p w14:paraId="06EBD328" w14:textId="5C1D3A14" w:rsidR="003915D8" w:rsidRDefault="003915D8" w:rsidP="003915D8">
      <w:pPr>
        <w:pStyle w:val="CommentText"/>
      </w:pPr>
      <w:r>
        <w:rPr>
          <w:rStyle w:val="CommentReference"/>
        </w:rPr>
        <w:annotationRef/>
      </w:r>
      <w:r>
        <w:t>Šeit norāda pārskata perioda sākuma datumu-</w:t>
      </w:r>
      <w:r w:rsidR="00E01687">
        <w:t>31.05</w:t>
      </w:r>
      <w:r>
        <w:t>.202</w:t>
      </w:r>
      <w:r w:rsidR="00E01687">
        <w:t>1</w:t>
      </w:r>
      <w:r>
        <w:t>.</w:t>
      </w:r>
    </w:p>
    <w:p w14:paraId="3741A500" w14:textId="4CD0F24A" w:rsidR="003915D8" w:rsidRDefault="003915D8">
      <w:pPr>
        <w:pStyle w:val="CommentText"/>
      </w:pPr>
    </w:p>
  </w:comment>
  <w:comment w:id="2" w:author="Agnese Rone" w:date="2020-09-18T14:22:00Z" w:initials="AR">
    <w:p w14:paraId="1A0D5678" w14:textId="7D74389B" w:rsidR="003915D8" w:rsidRDefault="003915D8" w:rsidP="003915D8">
      <w:pPr>
        <w:pStyle w:val="CommentText"/>
      </w:pPr>
      <w:r>
        <w:rPr>
          <w:rStyle w:val="CommentReference"/>
        </w:rPr>
        <w:annotationRef/>
      </w:r>
      <w:r>
        <w:t xml:space="preserve">Šeit ievada pārskata perioda beigu datumu </w:t>
      </w:r>
      <w:r w:rsidR="00E01687">
        <w:t>–</w:t>
      </w:r>
      <w:r>
        <w:t xml:space="preserve"> </w:t>
      </w:r>
      <w:r w:rsidR="00E01687">
        <w:t>30.06</w:t>
      </w:r>
      <w:r>
        <w:t>.202</w:t>
      </w:r>
      <w:r w:rsidR="00E01687">
        <w:t>1</w:t>
      </w:r>
      <w:r>
        <w:t>.</w:t>
      </w:r>
    </w:p>
    <w:p w14:paraId="201069F1" w14:textId="30BD162C" w:rsidR="003915D8" w:rsidRDefault="003915D8">
      <w:pPr>
        <w:pStyle w:val="CommentText"/>
      </w:pPr>
    </w:p>
  </w:comment>
  <w:comment w:id="3" w:author="Dace Puriņa" w:date="2017-10-09T11:39:00Z" w:initials="DP">
    <w:p w14:paraId="6253E497" w14:textId="533D78A5" w:rsidR="002D0C37" w:rsidRDefault="002D0C37">
      <w:pPr>
        <w:pStyle w:val="CommentText"/>
      </w:pPr>
      <w:r>
        <w:rPr>
          <w:rStyle w:val="CommentReference"/>
        </w:rPr>
        <w:annotationRef/>
      </w:r>
      <w:r w:rsidR="00CF20BB">
        <w:t>Šeit tiek saprasts- pašvaldības pieaugušo izglītības koordinators</w:t>
      </w:r>
    </w:p>
  </w:comment>
  <w:comment w:id="4" w:author="Dace Puriņa" w:date="2017-10-09T11:39:00Z" w:initials="DP">
    <w:p w14:paraId="784A2928" w14:textId="259046AE" w:rsidR="00CF20BB" w:rsidRDefault="00CF20BB">
      <w:pPr>
        <w:pStyle w:val="CommentText"/>
      </w:pPr>
      <w:r>
        <w:rPr>
          <w:rStyle w:val="CommentReference"/>
        </w:rPr>
        <w:annotationRef/>
      </w:r>
      <w:r>
        <w:t>Šeit tiek saprasts- persona, kas pašvaldības vārdā ir parakstījusi sadarbības līgumu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C85B0F" w15:done="0"/>
  <w15:commentEx w15:paraId="3741A500" w15:done="0"/>
  <w15:commentEx w15:paraId="201069F1" w15:done="0"/>
  <w15:commentEx w15:paraId="6253E497" w15:done="0"/>
  <w15:commentEx w15:paraId="784A29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C85B0F" w16cid:durableId="245B6E1B"/>
  <w16cid:commentId w16cid:paraId="3741A500" w16cid:durableId="245B6E1C"/>
  <w16cid:commentId w16cid:paraId="201069F1" w16cid:durableId="245B6E1D"/>
  <w16cid:commentId w16cid:paraId="6253E497" w16cid:durableId="245B6E1E"/>
  <w16cid:commentId w16cid:paraId="784A2928" w16cid:durableId="245B6E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C329" w14:textId="77777777" w:rsidR="00716B8F" w:rsidRDefault="00716B8F" w:rsidP="006D2577">
      <w:r>
        <w:separator/>
      </w:r>
    </w:p>
  </w:endnote>
  <w:endnote w:type="continuationSeparator" w:id="0">
    <w:p w14:paraId="66AEF121" w14:textId="77777777" w:rsidR="00716B8F" w:rsidRDefault="00716B8F" w:rsidP="006D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4916" w14:textId="77777777" w:rsidR="00716B8F" w:rsidRDefault="00716B8F" w:rsidP="006D2577">
      <w:r>
        <w:separator/>
      </w:r>
    </w:p>
  </w:footnote>
  <w:footnote w:type="continuationSeparator" w:id="0">
    <w:p w14:paraId="7ABBCA93" w14:textId="77777777" w:rsidR="00716B8F" w:rsidRDefault="00716B8F" w:rsidP="006D2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76CF" w14:textId="77777777" w:rsidR="006D2577" w:rsidRDefault="006D2577" w:rsidP="006D2577">
    <w:pPr>
      <w:pStyle w:val="Header"/>
      <w:jc w:val="center"/>
    </w:pPr>
    <w:r>
      <w:rPr>
        <w:noProof/>
      </w:rPr>
      <w:drawing>
        <wp:inline distT="0" distB="0" distL="0" distR="0" wp14:anchorId="6FDDE977" wp14:editId="2F527E41">
          <wp:extent cx="4176215" cy="100685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 fondu logotipu ansamblis - ESF - krasai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443" cy="1024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ese Rone">
    <w15:presenceInfo w15:providerId="AD" w15:userId="S-1-5-21-643382685-1273127185-4054792538-2898"/>
  </w15:person>
  <w15:person w15:author="Dace Puriņa">
    <w15:presenceInfo w15:providerId="AD" w15:userId="S-1-5-21-643382685-1273127185-4054792538-3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8FB"/>
    <w:rsid w:val="00027B11"/>
    <w:rsid w:val="00181D95"/>
    <w:rsid w:val="00220A98"/>
    <w:rsid w:val="002B2655"/>
    <w:rsid w:val="002D0C37"/>
    <w:rsid w:val="003915D8"/>
    <w:rsid w:val="004017E9"/>
    <w:rsid w:val="0068122D"/>
    <w:rsid w:val="006D2577"/>
    <w:rsid w:val="006D41B8"/>
    <w:rsid w:val="00716B8F"/>
    <w:rsid w:val="009F10B2"/>
    <w:rsid w:val="00A01AA0"/>
    <w:rsid w:val="00A25963"/>
    <w:rsid w:val="00A27DC4"/>
    <w:rsid w:val="00A542FC"/>
    <w:rsid w:val="00AE38FB"/>
    <w:rsid w:val="00B014A7"/>
    <w:rsid w:val="00B2009B"/>
    <w:rsid w:val="00B66928"/>
    <w:rsid w:val="00BE039A"/>
    <w:rsid w:val="00CF20BB"/>
    <w:rsid w:val="00D57D68"/>
    <w:rsid w:val="00D92A60"/>
    <w:rsid w:val="00E01687"/>
    <w:rsid w:val="00FA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D87931"/>
  <w15:docId w15:val="{5FA89903-F455-45DF-9CE0-FB20C35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5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5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D25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57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F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F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FC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rsid w:val="00391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viaa.gov.lv/lat/viaa/privatuma_politi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1195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VIAA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Puriņa</dc:creator>
  <cp:lastModifiedBy>Jolanta Utināne</cp:lastModifiedBy>
  <cp:revision>12</cp:revision>
  <dcterms:created xsi:type="dcterms:W3CDTF">2019-05-27T06:50:00Z</dcterms:created>
  <dcterms:modified xsi:type="dcterms:W3CDTF">2021-05-28T10:28:00Z</dcterms:modified>
</cp:coreProperties>
</file>