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A2" w:rsidRPr="00DF3644" w:rsidRDefault="00922BB6" w:rsidP="001A6EA2">
      <w:pPr>
        <w:jc w:val="center"/>
        <w:rPr>
          <w:b/>
        </w:rPr>
      </w:pPr>
      <w:bookmarkStart w:id="0" w:name="_GoBack"/>
      <w:bookmarkEnd w:id="0"/>
      <w:r>
        <w:rPr>
          <w:b/>
        </w:rPr>
        <w:t>Malkas piegādes līgums Nr ND 2017/5M</w:t>
      </w:r>
    </w:p>
    <w:p w:rsidR="001A6EA2" w:rsidRPr="00DF3644" w:rsidRDefault="001A6EA2" w:rsidP="001A6EA2"/>
    <w:p w:rsidR="001A6EA2" w:rsidRPr="00DF3644" w:rsidRDefault="001A6EA2" w:rsidP="001A6EA2">
      <w:r>
        <w:t>Vaiņodes novadā</w:t>
      </w:r>
      <w:r w:rsidRPr="00DF3644">
        <w:t xml:space="preserve">                                       </w:t>
      </w:r>
      <w:r>
        <w:t xml:space="preserve">                                 </w:t>
      </w:r>
      <w:r w:rsidRPr="00DF3644">
        <w:t xml:space="preserve">     201</w:t>
      </w:r>
      <w:r>
        <w:t>7</w:t>
      </w:r>
      <w:r w:rsidRPr="00DF3644">
        <w:t xml:space="preserve">.gada </w:t>
      </w:r>
      <w:r w:rsidR="00922BB6">
        <w:t>18. aprīlī</w:t>
      </w:r>
    </w:p>
    <w:p w:rsidR="001A6EA2" w:rsidRPr="00DF3644" w:rsidRDefault="001A6EA2" w:rsidP="001A6EA2"/>
    <w:p w:rsidR="001A6EA2" w:rsidRPr="00DF3644" w:rsidRDefault="001A6EA2" w:rsidP="001A6EA2">
      <w:pPr>
        <w:ind w:firstLine="720"/>
        <w:jc w:val="both"/>
      </w:pPr>
      <w:r>
        <w:rPr>
          <w:b/>
        </w:rPr>
        <w:t>Vaiņodes</w:t>
      </w:r>
      <w:r w:rsidRPr="00DF3644">
        <w:rPr>
          <w:b/>
        </w:rPr>
        <w:t xml:space="preserve"> novada dome</w:t>
      </w:r>
      <w:r w:rsidRPr="00DF3644">
        <w:t xml:space="preserve">, </w:t>
      </w:r>
      <w:r>
        <w:t>reģistrācijas numurs 90000059071</w:t>
      </w:r>
      <w:r w:rsidRPr="00DF3644">
        <w:t xml:space="preserve">, juridiskā </w:t>
      </w:r>
      <w:r>
        <w:t>adrese: Raiņa iela 23A, Vaiņodes pagasts, Vaiņodes novads, LV-3435</w:t>
      </w:r>
      <w:r w:rsidRPr="00DF3644">
        <w:t>, kuras vārdā sa</w:t>
      </w:r>
      <w:r>
        <w:t>skaņā ar Vaiņodes</w:t>
      </w:r>
      <w:r w:rsidRPr="00DF3644">
        <w:t xml:space="preserve"> novada Domes </w:t>
      </w:r>
      <w:r>
        <w:t>Nolikumu</w:t>
      </w:r>
      <w:r w:rsidRPr="00DF3644">
        <w:rPr>
          <w:bCs/>
          <w:kern w:val="36"/>
        </w:rPr>
        <w:t xml:space="preserve"> </w:t>
      </w:r>
      <w:r w:rsidRPr="00DF3644">
        <w:t>rīkoja</w:t>
      </w:r>
      <w:r>
        <w:t xml:space="preserve">s Vaiņodes novada domes </w:t>
      </w:r>
      <w:r w:rsidR="00922BB6">
        <w:t>izpilddirektors</w:t>
      </w:r>
      <w:r w:rsidRPr="00DF3644">
        <w:t xml:space="preserve"> </w:t>
      </w:r>
      <w:r w:rsidR="00922BB6">
        <w:t>Egils Juzups</w:t>
      </w:r>
      <w:r>
        <w:t xml:space="preserve"> </w:t>
      </w:r>
      <w:r w:rsidRPr="00DF3644">
        <w:t>(turpmāk – Pasūtītājs), un</w:t>
      </w:r>
    </w:p>
    <w:p w:rsidR="001A6EA2" w:rsidRPr="00DF3644" w:rsidRDefault="00922BB6" w:rsidP="001A6EA2">
      <w:pPr>
        <w:ind w:firstLine="720"/>
        <w:jc w:val="both"/>
      </w:pPr>
      <w:r>
        <w:t>SIA “Lignum Latvija”</w:t>
      </w:r>
      <w:r w:rsidR="001A6EA2" w:rsidRPr="00DF3644">
        <w:t>, reģistrācijas Nr.</w:t>
      </w:r>
      <w:r>
        <w:t>40103530633</w:t>
      </w:r>
      <w:r w:rsidR="001A6EA2" w:rsidRPr="00DF3644">
        <w:t xml:space="preserve">, juridiskā adrese: </w:t>
      </w:r>
      <w:r>
        <w:t>Krišjāņa Barona iela 96/98-12</w:t>
      </w:r>
      <w:r w:rsidR="001A6EA2" w:rsidRPr="00DF3644">
        <w:t xml:space="preserve">, kuras vārdā saskaņā ar </w:t>
      </w:r>
      <w:r>
        <w:t>Statūtiem</w:t>
      </w:r>
      <w:r w:rsidR="001A6EA2" w:rsidRPr="00DF3644">
        <w:t xml:space="preserve"> rīkojas </w:t>
      </w:r>
      <w:r w:rsidRPr="00922BB6">
        <w:t>Valdes loceklis Armands Alksnis</w:t>
      </w:r>
      <w:r w:rsidR="001A6EA2" w:rsidRPr="00922BB6">
        <w:t xml:space="preserve"> </w:t>
      </w:r>
      <w:r w:rsidR="001A6EA2" w:rsidRPr="00DF3644">
        <w:t xml:space="preserve">(turpmāk – Pārdevējs), no otras puses (līdzēji saukti atsevišķi - Puse, kopā - Puses), saskaņā ar veiktā iepirkuma </w:t>
      </w:r>
      <w:r w:rsidR="001A6EA2">
        <w:rPr>
          <w:b/>
        </w:rPr>
        <w:t>„Malkas piegāde Vaiņodes novada pašvaldības</w:t>
      </w:r>
      <w:r w:rsidR="001A6EA2" w:rsidRPr="00DF3644">
        <w:rPr>
          <w:b/>
        </w:rPr>
        <w:t xml:space="preserve"> vajadzībām”, ID Nr. VND 201</w:t>
      </w:r>
      <w:r w:rsidR="001A6EA2">
        <w:rPr>
          <w:b/>
        </w:rPr>
        <w:t>7</w:t>
      </w:r>
      <w:r w:rsidR="001A6EA2" w:rsidRPr="00DF3644">
        <w:rPr>
          <w:b/>
        </w:rPr>
        <w:t>/</w:t>
      </w:r>
      <w:r w:rsidR="001A6EA2">
        <w:rPr>
          <w:b/>
        </w:rPr>
        <w:t>5</w:t>
      </w:r>
      <w:r w:rsidR="001A6EA2" w:rsidRPr="00DF3644">
        <w:t>, rezultātiem noslēdz šādu līgumu (turpmāk-Līgumu):</w:t>
      </w:r>
    </w:p>
    <w:p w:rsidR="001A6EA2" w:rsidRPr="00DF3644" w:rsidRDefault="001A6EA2" w:rsidP="001A6EA2">
      <w:pPr>
        <w:tabs>
          <w:tab w:val="left" w:pos="284"/>
        </w:tabs>
        <w:jc w:val="center"/>
        <w:rPr>
          <w:b/>
        </w:rPr>
      </w:pPr>
      <w:r w:rsidRPr="00DF3644">
        <w:rPr>
          <w:b/>
        </w:rPr>
        <w:t>1.</w:t>
      </w:r>
      <w:r w:rsidRPr="00DF3644">
        <w:tab/>
      </w:r>
      <w:r w:rsidRPr="00DF3644">
        <w:rPr>
          <w:b/>
        </w:rPr>
        <w:t>Līguma priekšmets</w:t>
      </w:r>
    </w:p>
    <w:p w:rsidR="001A6EA2" w:rsidRPr="00922BB6" w:rsidRDefault="001A6EA2" w:rsidP="001A6EA2">
      <w:pPr>
        <w:pStyle w:val="Sarakstarindkopa"/>
        <w:ind w:left="0"/>
        <w:jc w:val="both"/>
      </w:pPr>
      <w:r w:rsidRPr="00DF3644">
        <w:t xml:space="preserve">Pārdevējs apņemas piegādāt un pārdot Pasūtītājam dedzināmo malku </w:t>
      </w:r>
      <w:r w:rsidR="00922BB6">
        <w:t xml:space="preserve">(turpmāk – Prece) iepirkuma </w:t>
      </w:r>
      <w:r w:rsidR="00922BB6" w:rsidRPr="00922BB6">
        <w:t>daļ</w:t>
      </w:r>
      <w:r w:rsidR="00922BB6" w:rsidRPr="00922BB6">
        <w:rPr>
          <w:lang w:val="lv-LV"/>
        </w:rPr>
        <w:t>ā</w:t>
      </w:r>
      <w:r w:rsidRPr="00922BB6">
        <w:t>s Nr.</w:t>
      </w:r>
      <w:r w:rsidR="00922BB6" w:rsidRPr="00922BB6">
        <w:t xml:space="preserve">1 </w:t>
      </w:r>
      <w:r w:rsidR="00922BB6" w:rsidRPr="00922BB6">
        <w:rPr>
          <w:lang w:val="lv-LV"/>
        </w:rPr>
        <w:t>, piegādes adrese Vienības iela 8,</w:t>
      </w:r>
      <w:r w:rsidR="00922BB6">
        <w:rPr>
          <w:lang w:val="lv-LV"/>
        </w:rPr>
        <w:t xml:space="preserve"> Vaiņodes pagasts, Vaiņodes novads, piegādājamais</w:t>
      </w:r>
      <w:r w:rsidR="00922BB6" w:rsidRPr="00922BB6">
        <w:rPr>
          <w:lang w:val="lv-LV"/>
        </w:rPr>
        <w:t xml:space="preserve"> apjoms 125 kubikmetri un </w:t>
      </w:r>
      <w:r w:rsidR="00922BB6">
        <w:rPr>
          <w:lang w:val="lv-LV"/>
        </w:rPr>
        <w:t>daļā Nr. 2,  piegādes adrese Sanatorija 8, Vaiņodes pagasts, Vaiņodes novads, piegādājamais apjoms 260 kubikmetri</w:t>
      </w:r>
      <w:r w:rsidR="00953B69">
        <w:rPr>
          <w:lang w:val="lv-LV"/>
        </w:rPr>
        <w:t xml:space="preserve">, </w:t>
      </w:r>
      <w:r w:rsidRPr="00922BB6">
        <w:t>saskaņā ar iepirkuma tehnisko specifikāciju, Pārdevēja tehnisko un finanšu piedāvājumu un šī Līguma noteikumiem, un Pasūtītājs apņemas to nopirkt.</w:t>
      </w:r>
    </w:p>
    <w:p w:rsidR="001A6EA2" w:rsidRPr="00DF3644" w:rsidRDefault="001A6EA2" w:rsidP="001A6EA2">
      <w:pPr>
        <w:jc w:val="both"/>
      </w:pPr>
    </w:p>
    <w:p w:rsidR="001A6EA2" w:rsidRPr="00DF3644" w:rsidRDefault="001A6EA2" w:rsidP="001A6EA2">
      <w:pPr>
        <w:tabs>
          <w:tab w:val="left" w:pos="284"/>
        </w:tabs>
        <w:jc w:val="center"/>
        <w:rPr>
          <w:b/>
        </w:rPr>
      </w:pPr>
      <w:r w:rsidRPr="00DF3644">
        <w:rPr>
          <w:b/>
        </w:rPr>
        <w:t>2.</w:t>
      </w:r>
      <w:r w:rsidRPr="00DF3644">
        <w:tab/>
      </w:r>
      <w:r w:rsidRPr="00DF3644">
        <w:rPr>
          <w:b/>
        </w:rPr>
        <w:t>Preču kvalitātes prasības, piegādes termiņš un cenas</w:t>
      </w:r>
    </w:p>
    <w:p w:rsidR="001A6EA2" w:rsidRPr="00DF3644" w:rsidRDefault="001A6EA2" w:rsidP="001A6EA2">
      <w:pPr>
        <w:jc w:val="both"/>
      </w:pPr>
      <w:r w:rsidRPr="00DF3644">
        <w:t xml:space="preserve">Preces kvalitātes prasības, piegādes apjomi, piegādes vietas, termiņi un Preces cena ir noteiktas </w:t>
      </w:r>
      <w:r>
        <w:t>Pretendenta piedāvājumā iepirkumam.</w:t>
      </w:r>
    </w:p>
    <w:p w:rsidR="001A6EA2" w:rsidRPr="00DF3644" w:rsidRDefault="001A6EA2" w:rsidP="001A6EA2">
      <w:pPr>
        <w:jc w:val="both"/>
      </w:pPr>
    </w:p>
    <w:p w:rsidR="001A6EA2" w:rsidRDefault="001A6EA2" w:rsidP="001A6EA2">
      <w:pPr>
        <w:tabs>
          <w:tab w:val="left" w:pos="284"/>
        </w:tabs>
        <w:jc w:val="center"/>
        <w:rPr>
          <w:b/>
        </w:rPr>
      </w:pPr>
      <w:r w:rsidRPr="00DF3644">
        <w:rPr>
          <w:b/>
        </w:rPr>
        <w:t>3.</w:t>
      </w:r>
      <w:r w:rsidRPr="00DF3644">
        <w:tab/>
      </w:r>
      <w:r w:rsidRPr="00DF3644">
        <w:rPr>
          <w:b/>
        </w:rPr>
        <w:t>Līguma summa un maksājumu kārtība</w:t>
      </w:r>
    </w:p>
    <w:p w:rsidR="001764FB" w:rsidRPr="00DF3644" w:rsidRDefault="001764FB" w:rsidP="001A6EA2">
      <w:pPr>
        <w:tabs>
          <w:tab w:val="left" w:pos="284"/>
        </w:tabs>
        <w:jc w:val="center"/>
        <w:rPr>
          <w:b/>
        </w:rPr>
      </w:pPr>
    </w:p>
    <w:p w:rsidR="001A6EA2" w:rsidRPr="00DF3644" w:rsidRDefault="001A6EA2" w:rsidP="001A6EA2">
      <w:pPr>
        <w:jc w:val="both"/>
        <w:rPr>
          <w:b/>
        </w:rPr>
      </w:pPr>
      <w:r w:rsidRPr="00DF3644">
        <w:t xml:space="preserve">3.1. Līguma </w:t>
      </w:r>
      <w:r w:rsidR="001764FB">
        <w:t xml:space="preserve">kopējā </w:t>
      </w:r>
      <w:r w:rsidRPr="00DF3644">
        <w:t xml:space="preserve">summa tiek noteikta </w:t>
      </w:r>
      <w:r w:rsidR="001764FB">
        <w:rPr>
          <w:b/>
        </w:rPr>
        <w:t>9009</w:t>
      </w:r>
      <w:r w:rsidRPr="00DF3644">
        <w:t xml:space="preserve"> </w:t>
      </w:r>
      <w:r w:rsidRPr="001764FB">
        <w:t xml:space="preserve">EUR </w:t>
      </w:r>
      <w:r w:rsidR="001764FB" w:rsidRPr="001764FB">
        <w:t>(deviņi tūkstoši deviņi euro, 00 centi</w:t>
      </w:r>
      <w:r w:rsidRPr="001764FB">
        <w:t>)</w:t>
      </w:r>
      <w:r w:rsidRPr="00DF3644">
        <w:t xml:space="preserve"> </w:t>
      </w:r>
      <w:r w:rsidRPr="00DF3644">
        <w:rPr>
          <w:b/>
        </w:rPr>
        <w:t>bez pievienotās vērtības nodokļa</w:t>
      </w:r>
      <w:r w:rsidRPr="00DF3644">
        <w:t>.</w:t>
      </w:r>
      <w:r w:rsidRPr="00DF3644">
        <w:rPr>
          <w:b/>
        </w:rPr>
        <w:t xml:space="preserve"> </w:t>
      </w:r>
    </w:p>
    <w:p w:rsidR="001A6EA2" w:rsidRPr="00DF3644" w:rsidRDefault="001A6EA2" w:rsidP="001A6EA2">
      <w:pPr>
        <w:jc w:val="both"/>
      </w:pPr>
      <w:r w:rsidRPr="00DF3644">
        <w:t>3.2. Pievienotās vērtības nodokļa likmi nosaka saskaņā ar spēkā esošajiem normatīvajiem aktiem.</w:t>
      </w:r>
    </w:p>
    <w:p w:rsidR="001A6EA2" w:rsidRPr="00DF3644" w:rsidRDefault="001A6EA2" w:rsidP="001A6EA2">
      <w:pPr>
        <w:jc w:val="both"/>
      </w:pPr>
      <w:r w:rsidRPr="00DF3644">
        <w:t>3.3. Maksājumi par pieņemto Preci tiek veikti, pamatojoties uz Pušu pilnvaroto pārstāvju abpusēji parakstītu pavadzīmi-rēķinu, 15 (piecpadsmit) darba dienu laikā no attiecīgās pavadzīmes-rēķina abpusējās parakstīšanas dienas un ciršanas apliecinājuma kopijas saņemšanas attiecīgajai malkas partijai, pārskaitot naudu uz Pārdevēja norādīto bankas kontu.</w:t>
      </w:r>
    </w:p>
    <w:p w:rsidR="001A6EA2" w:rsidRPr="00DF3644" w:rsidRDefault="001A6EA2" w:rsidP="001A6EA2">
      <w:pPr>
        <w:jc w:val="both"/>
      </w:pPr>
      <w:r w:rsidRPr="00DF3644">
        <w:t>3.4. Par līgumā noteiktā apmaksas termiņa neievērošanu Pasūtītājs pēc Pārdevēja pieprasījuma maksā Pārdevējam līgumsodu 0,1 % apmērā no savlaicīgi nesamaksātās summas par katru maksājuma kavējuma dienu, bet ne vairāk kā 10% no līguma summas bez PVN.</w:t>
      </w:r>
    </w:p>
    <w:p w:rsidR="001A6EA2" w:rsidRPr="00DF3644" w:rsidRDefault="001A6EA2" w:rsidP="001A6EA2">
      <w:pPr>
        <w:jc w:val="both"/>
      </w:pPr>
      <w:r w:rsidRPr="00DF3644">
        <w:t>3.5. Ja Pārdevējs nepiegādā Preci līgumā noteiktā termiņā, Pasūtītājam ir tiesības uzlikt Pārdevējam līgumsodu 0,1% apmērā no paredzētās Preces piegādes summas par katru nokavēto dienu, bet ne vairāk kā 10% no līguma summas bez PVN.</w:t>
      </w:r>
    </w:p>
    <w:p w:rsidR="001A6EA2" w:rsidRPr="00DF3644" w:rsidRDefault="001A6EA2" w:rsidP="001A6EA2">
      <w:pPr>
        <w:jc w:val="both"/>
      </w:pPr>
      <w:r w:rsidRPr="00DF3644">
        <w:t>3.6. Līgumsoda samaksa neatbrīvo Puses no savu saistību izpildes.</w:t>
      </w:r>
    </w:p>
    <w:p w:rsidR="001A6EA2" w:rsidRPr="00DF3644" w:rsidRDefault="001A6EA2" w:rsidP="001A6EA2">
      <w:pPr>
        <w:jc w:val="both"/>
      </w:pPr>
    </w:p>
    <w:p w:rsidR="001764FB" w:rsidRDefault="001764FB" w:rsidP="001A6EA2">
      <w:pPr>
        <w:tabs>
          <w:tab w:val="left" w:pos="426"/>
        </w:tabs>
        <w:jc w:val="center"/>
        <w:rPr>
          <w:b/>
        </w:rPr>
      </w:pPr>
    </w:p>
    <w:p w:rsidR="001764FB" w:rsidRDefault="001764FB" w:rsidP="001A6EA2">
      <w:pPr>
        <w:tabs>
          <w:tab w:val="left" w:pos="426"/>
        </w:tabs>
        <w:jc w:val="center"/>
        <w:rPr>
          <w:b/>
        </w:rPr>
      </w:pPr>
    </w:p>
    <w:p w:rsidR="001764FB" w:rsidRDefault="001764FB" w:rsidP="001A6EA2">
      <w:pPr>
        <w:tabs>
          <w:tab w:val="left" w:pos="426"/>
        </w:tabs>
        <w:jc w:val="center"/>
        <w:rPr>
          <w:b/>
        </w:rPr>
      </w:pPr>
    </w:p>
    <w:p w:rsidR="001A6EA2" w:rsidRPr="00DF3644" w:rsidRDefault="001A6EA2" w:rsidP="001A6EA2">
      <w:pPr>
        <w:tabs>
          <w:tab w:val="left" w:pos="426"/>
        </w:tabs>
        <w:jc w:val="center"/>
        <w:rPr>
          <w:b/>
        </w:rPr>
      </w:pPr>
      <w:r w:rsidRPr="00DF3644">
        <w:rPr>
          <w:b/>
        </w:rPr>
        <w:t>4.</w:t>
      </w:r>
      <w:r w:rsidRPr="00DF3644">
        <w:tab/>
      </w:r>
      <w:r w:rsidRPr="00DF3644">
        <w:rPr>
          <w:b/>
        </w:rPr>
        <w:t>Piegādes un pieņemšanas noteikumi</w:t>
      </w:r>
    </w:p>
    <w:p w:rsidR="001A6EA2" w:rsidRPr="00DF3644" w:rsidRDefault="001A6EA2" w:rsidP="001A6EA2">
      <w:pPr>
        <w:jc w:val="both"/>
      </w:pPr>
      <w:r w:rsidRPr="00DF3644">
        <w:lastRenderedPageBreak/>
        <w:t xml:space="preserve">4.1. Pārdevējs saviem spēkiem un par saviem līdzekļiem veic Preces transportēšanu līdz </w:t>
      </w:r>
      <w:r>
        <w:t>iepirkuma specifikācijā</w:t>
      </w:r>
      <w:r w:rsidRPr="00DF3644">
        <w:t xml:space="preserve"> norādītajai p</w:t>
      </w:r>
      <w:r>
        <w:t>iegādes vietai 90 kalendāro dienu laikā no šā Līguma parakstīšanas dienas.</w:t>
      </w:r>
    </w:p>
    <w:p w:rsidR="001A6EA2" w:rsidRPr="00DF3644" w:rsidRDefault="001A6EA2" w:rsidP="001A6EA2">
      <w:pPr>
        <w:jc w:val="both"/>
      </w:pPr>
      <w:r w:rsidRPr="00DF3644">
        <w:t xml:space="preserve">4.2. Par katru malkas kravu jābūt aizpildītai pavadzīmei-rēķinam, kuras 1.eksemplāru Pārdevējs iesniedz Pasūtītājam kā apmaksas dokumentu, pievienojot ciršanas apliecinājuma kopiju. </w:t>
      </w:r>
    </w:p>
    <w:p w:rsidR="001A6EA2" w:rsidRPr="00DF3644" w:rsidRDefault="001A6EA2" w:rsidP="001A6EA2">
      <w:pPr>
        <w:jc w:val="both"/>
      </w:pPr>
      <w:r w:rsidRPr="00DF3644">
        <w:t>4.3. Preces izkraušanu piegādes vietā veic Pārdevējs ar saviem tehniskajiem līdzekļiem un darba spēku.</w:t>
      </w:r>
    </w:p>
    <w:p w:rsidR="001A6EA2" w:rsidRPr="00DF3644" w:rsidRDefault="001A6EA2" w:rsidP="001A6EA2">
      <w:pPr>
        <w:jc w:val="both"/>
      </w:pPr>
      <w:r w:rsidRPr="00DF3644">
        <w:t xml:space="preserve">4.4. Preces pieņemšana pēc daudzuma un kvalitātes notiek Preces Piegādes vietā, Pasūtītājam veicot Preces uzmērīšanu. </w:t>
      </w:r>
    </w:p>
    <w:p w:rsidR="001A6EA2" w:rsidRPr="00DF3644" w:rsidRDefault="001A6EA2" w:rsidP="001A6EA2">
      <w:pPr>
        <w:jc w:val="both"/>
      </w:pPr>
      <w:r w:rsidRPr="00DF3644">
        <w:t>4.5. Ja malkas sortiments, daudzums un kvalitāte neatbilst norādītājai malkas specifikācijai, Pasūtītājam ir tiesības atteikties no malkas pieņemšanas, nekavējoties par to informējot autovadītāju un Pārdevēju. Pārdevējs novērš Preces trūkumus par saviem līdzekļiem.</w:t>
      </w:r>
    </w:p>
    <w:p w:rsidR="001A6EA2" w:rsidRPr="00B47B88" w:rsidRDefault="001A6EA2" w:rsidP="001A6EA2">
      <w:pPr>
        <w:jc w:val="both"/>
      </w:pPr>
      <w:r w:rsidRPr="00DF3644">
        <w:t xml:space="preserve">4.6. </w:t>
      </w:r>
      <w:r w:rsidRPr="00B47B88">
        <w:t>Domstarpību gadījumā malkas uzmērīšanai Pasūtītājs var pieaicināt akreditētu komersantu,</w:t>
      </w:r>
      <w:r w:rsidRPr="00B47B88">
        <w:rPr>
          <w:rFonts w:ascii="Arial" w:hAnsi="Arial" w:cs="Arial"/>
        </w:rPr>
        <w:t xml:space="preserve"> </w:t>
      </w:r>
      <w:r w:rsidRPr="00B47B88">
        <w:t xml:space="preserve">kurš darbojas koku un apaļo kokmateriālu uzmērīšanas jomā, </w:t>
      </w:r>
      <w:r w:rsidRPr="00B47B88">
        <w:rPr>
          <w:bCs/>
          <w:shd w:val="clear" w:color="auto" w:fill="FFFFFF"/>
        </w:rPr>
        <w:t>Ministru kabineta 2007.gada 6.novembra  noteikumu Nr.744</w:t>
      </w:r>
      <w:r w:rsidRPr="00B47B88">
        <w:rPr>
          <w:rStyle w:val="apple-converted-space"/>
          <w:shd w:val="clear" w:color="auto" w:fill="FFFFFF"/>
        </w:rPr>
        <w:t> </w:t>
      </w:r>
      <w:r w:rsidRPr="00B47B88">
        <w:rPr>
          <w:bCs/>
          <w:shd w:val="clear" w:color="auto" w:fill="FFFFFF"/>
        </w:rPr>
        <w:t xml:space="preserve"> „Noteikumi par koku un apaļo kokmateriālu uzskaiti” izpratnē </w:t>
      </w:r>
      <w:r w:rsidRPr="00B47B88">
        <w:t>(turpmāk – akreditēts komersants). Ar akreditēta komersanta pieaicināšanu saistītos izdevumus sedz tā Puse, kuras malkas apjoma aprēķins bijis neprecīzāks.</w:t>
      </w:r>
    </w:p>
    <w:p w:rsidR="001A6EA2" w:rsidRPr="00DF3644" w:rsidRDefault="001A6EA2" w:rsidP="001A6EA2">
      <w:pPr>
        <w:jc w:val="both"/>
      </w:pPr>
      <w:r w:rsidRPr="00DF3644">
        <w:t>4.7. Par Preces pieņemšanas dienu tiek uzskatīta diena, kad pušu pilnvarotās personas parakstījušas attiecīgo kokmateriālu pavadzīmi-rēķinu.</w:t>
      </w:r>
    </w:p>
    <w:p w:rsidR="001A6EA2" w:rsidRPr="00DF3644" w:rsidRDefault="001A6EA2" w:rsidP="001A6EA2">
      <w:pPr>
        <w:jc w:val="both"/>
      </w:pPr>
      <w:r w:rsidRPr="00DF3644">
        <w:t>4.8. Preces apmaksa notiek pēc faktiski uzmērītā apjoma.</w:t>
      </w:r>
    </w:p>
    <w:p w:rsidR="001A6EA2" w:rsidRPr="00DF3644" w:rsidRDefault="001A6EA2" w:rsidP="001A6EA2">
      <w:pPr>
        <w:jc w:val="both"/>
      </w:pPr>
    </w:p>
    <w:p w:rsidR="001A6EA2" w:rsidRPr="00DF3644" w:rsidRDefault="001A6EA2" w:rsidP="001A6EA2">
      <w:pPr>
        <w:tabs>
          <w:tab w:val="left" w:pos="284"/>
        </w:tabs>
        <w:jc w:val="center"/>
        <w:rPr>
          <w:b/>
        </w:rPr>
      </w:pPr>
      <w:r w:rsidRPr="00DF3644">
        <w:rPr>
          <w:b/>
        </w:rPr>
        <w:t>5.</w:t>
      </w:r>
      <w:r w:rsidRPr="00DF3644">
        <w:tab/>
      </w:r>
      <w:r w:rsidRPr="00DF3644">
        <w:rPr>
          <w:b/>
        </w:rPr>
        <w:t>Atbildība</w:t>
      </w:r>
    </w:p>
    <w:p w:rsidR="001A6EA2" w:rsidRPr="00DF3644" w:rsidRDefault="001A6EA2" w:rsidP="001A6EA2">
      <w:pPr>
        <w:widowControl w:val="0"/>
        <w:tabs>
          <w:tab w:val="num" w:pos="567"/>
        </w:tabs>
        <w:suppressAutoHyphens w:val="0"/>
        <w:jc w:val="both"/>
      </w:pPr>
      <w:r w:rsidRPr="00DF3644">
        <w:t xml:space="preserve">5.1. Pārdevējs ir atbildīgs par piegādājamās Preces pilnīgas vai daļējas bojāejas vai bojāšanās risku līdz </w:t>
      </w:r>
      <w:r>
        <w:t>abas Puses ir parakstījušas</w:t>
      </w:r>
      <w:r w:rsidRPr="002D0D2D">
        <w:t xml:space="preserve"> </w:t>
      </w:r>
      <w:r w:rsidRPr="00DF3644">
        <w:t>attiecīgo kokmateriālu pavadzīmi-rēķinu. Līdz ar attiecīgās kokmateriālu pavadzīmes-rēķina parakstīšanu, viss risks par Preci pāriet uz Pasūtītāju.</w:t>
      </w:r>
    </w:p>
    <w:p w:rsidR="001A6EA2" w:rsidRPr="00DF3644" w:rsidRDefault="001A6EA2" w:rsidP="001A6EA2">
      <w:pPr>
        <w:jc w:val="both"/>
      </w:pPr>
      <w:r w:rsidRPr="00DF3644">
        <w:t>5.2. Pārdevējam bez Pasūtītāja rakstiskas piekrišanas nav tiesību nodot trešajām personām jebkuras no šī Līguma noteikumiem izrietošās tiesības un saistības.</w:t>
      </w:r>
    </w:p>
    <w:p w:rsidR="001A6EA2" w:rsidRPr="00DF3644" w:rsidRDefault="001A6EA2" w:rsidP="001A6EA2">
      <w:pPr>
        <w:jc w:val="both"/>
      </w:pPr>
      <w:r w:rsidRPr="00DF3644">
        <w:t>5.3. Pārdevējs garantē, ka piegādātie kokmateriāli mežizstrādes procesā ir sagatavoti, ievērojot Latvijā spēkā esošo meža un apkārtējās vides aizsardzības normatīvos aktus un citus saistītos normatīvos aktus.</w:t>
      </w:r>
    </w:p>
    <w:p w:rsidR="001A6EA2" w:rsidRPr="00DF3644" w:rsidRDefault="001A6EA2" w:rsidP="001A6EA2">
      <w:pPr>
        <w:jc w:val="both"/>
      </w:pPr>
      <w:r w:rsidRPr="00DF3644">
        <w:t>5.4. Pārdevēja atbildība par zaudējumiem aprobežojas ar piegādātās Preces vērtību.</w:t>
      </w:r>
    </w:p>
    <w:p w:rsidR="001A6EA2" w:rsidRPr="00DF3644" w:rsidRDefault="001A6EA2" w:rsidP="001A6EA2">
      <w:pPr>
        <w:jc w:val="both"/>
      </w:pPr>
    </w:p>
    <w:p w:rsidR="001A6EA2" w:rsidRPr="00DF3644" w:rsidRDefault="001A6EA2" w:rsidP="001A6EA2">
      <w:pPr>
        <w:tabs>
          <w:tab w:val="left" w:pos="426"/>
        </w:tabs>
        <w:jc w:val="center"/>
        <w:rPr>
          <w:b/>
        </w:rPr>
      </w:pPr>
      <w:r w:rsidRPr="00DF3644">
        <w:rPr>
          <w:b/>
        </w:rPr>
        <w:t>6.</w:t>
      </w:r>
      <w:r w:rsidRPr="00DF3644">
        <w:tab/>
      </w:r>
      <w:r w:rsidRPr="00DF3644">
        <w:rPr>
          <w:b/>
        </w:rPr>
        <w:t>Nepārvarama vara</w:t>
      </w:r>
    </w:p>
    <w:p w:rsidR="001A6EA2" w:rsidRPr="00DF3644" w:rsidRDefault="001A6EA2" w:rsidP="001A6EA2">
      <w:pPr>
        <w:jc w:val="both"/>
      </w:pPr>
      <w:r w:rsidRPr="00DF3644">
        <w:t>6.1. Neviena no līgumslēdzēju Pusēm neatbild par Līgumā noteikto saistību neizpildīšanu, ja tas noticis nepārvaramas varas rezultātā, kā, piemēram, dabas katastrofa (ugunsgrēki, plūdi, utt.), sociālie konflikti (streiki, pilsoņu kari, utt.), kā arī jaunu likumu ieviešana, kas sarežģī, ierobežo vai aizliedz Līgumā noteikto darbību.</w:t>
      </w:r>
    </w:p>
    <w:p w:rsidR="001A6EA2" w:rsidRPr="00DF3644" w:rsidRDefault="001A6EA2" w:rsidP="001A6EA2">
      <w:pPr>
        <w:jc w:val="both"/>
      </w:pPr>
      <w:r w:rsidRPr="00DF3644">
        <w:t>6.2. Katra no līgumslēdzēju Pusēm nekavējoties informē otru Pusi par nepārvaramas varas iestāšanos. Šajā gadījumā puses vienojas par Līgumā noteikto noteikumu izmainīšanu vai Līguma izbeigšanu.</w:t>
      </w:r>
    </w:p>
    <w:p w:rsidR="001A6EA2" w:rsidRPr="00DF3644" w:rsidRDefault="001A6EA2" w:rsidP="001A6EA2">
      <w:pPr>
        <w:jc w:val="both"/>
      </w:pPr>
      <w:r w:rsidRPr="00DF3644">
        <w:t>6.3. Nepārvaramas varas apstākļu iestāšanās jāpierāda tai Pusei, kura uz tiem atsaucas.</w:t>
      </w:r>
    </w:p>
    <w:p w:rsidR="001A6EA2" w:rsidRPr="00DF3644" w:rsidRDefault="001A6EA2" w:rsidP="001A6EA2">
      <w:pPr>
        <w:jc w:val="both"/>
      </w:pPr>
    </w:p>
    <w:p w:rsidR="001A6EA2" w:rsidRPr="00DF3644" w:rsidRDefault="001A6EA2" w:rsidP="001A6EA2">
      <w:pPr>
        <w:tabs>
          <w:tab w:val="left" w:pos="426"/>
        </w:tabs>
        <w:jc w:val="center"/>
        <w:rPr>
          <w:b/>
        </w:rPr>
      </w:pPr>
      <w:r w:rsidRPr="00DF3644">
        <w:rPr>
          <w:b/>
        </w:rPr>
        <w:t>7.</w:t>
      </w:r>
      <w:r w:rsidRPr="00DF3644">
        <w:tab/>
      </w:r>
      <w:r w:rsidRPr="00DF3644">
        <w:rPr>
          <w:b/>
        </w:rPr>
        <w:t>Nobeiguma noteikumi</w:t>
      </w:r>
    </w:p>
    <w:p w:rsidR="001A6EA2" w:rsidRPr="00DF3644" w:rsidRDefault="001A6EA2" w:rsidP="001A6EA2">
      <w:pPr>
        <w:jc w:val="both"/>
      </w:pPr>
      <w:r w:rsidRPr="00DF3644">
        <w:t>7.1. Līgums stājas spēkā ar tā abpusējas parakstīšanas dienu un ir spēkā līdz</w:t>
      </w:r>
      <w:r>
        <w:rPr>
          <w:i/>
        </w:rPr>
        <w:t xml:space="preserve"> </w:t>
      </w:r>
      <w:r w:rsidRPr="00DF3644">
        <w:t xml:space="preserve"> P</w:t>
      </w:r>
      <w:r>
        <w:t xml:space="preserve">ušu saistību pilnīgai izpildei. </w:t>
      </w:r>
    </w:p>
    <w:p w:rsidR="001A6EA2" w:rsidRPr="00DF3644" w:rsidRDefault="001A6EA2" w:rsidP="001A6EA2">
      <w:pPr>
        <w:jc w:val="both"/>
      </w:pPr>
      <w:r w:rsidRPr="00DF3644">
        <w:lastRenderedPageBreak/>
        <w:t>7.2.Līgumu var grozīt un papildināt tikai ar pušu rakstveida vienošanos un saskaņā ar Publisko iepirkumu likuma 67.</w:t>
      </w:r>
      <w:r w:rsidRPr="00DF3644">
        <w:rPr>
          <w:vertAlign w:val="superscript"/>
        </w:rPr>
        <w:t>1</w:t>
      </w:r>
      <w:r w:rsidRPr="00DF3644">
        <w:t xml:space="preserve"> pantu, kas tiek noformēta kā šā Līguma pielikums un ir tā neatņemama sastāvdaļa.</w:t>
      </w:r>
    </w:p>
    <w:p w:rsidR="001A6EA2" w:rsidRPr="00DF3644" w:rsidRDefault="001A6EA2" w:rsidP="001A6EA2">
      <w:pPr>
        <w:jc w:val="both"/>
      </w:pPr>
      <w:r w:rsidRPr="00DF3644">
        <w:t>7.3. Līgums var tikt izbeigts pirms tā termiņa notecējuma, Pusēm par to vienojoties, vai pēc vienas Puses ierosinājuma, rakstiski brīdinot otru Pusi 10 ( desmit) dienas iepriekš, ja otra Puse nepilda vai nepienācīgi pilda šī Līguma saistības.</w:t>
      </w:r>
    </w:p>
    <w:p w:rsidR="001A6EA2" w:rsidRPr="00DF3644" w:rsidRDefault="001A6EA2" w:rsidP="001A6EA2">
      <w:pPr>
        <w:jc w:val="both"/>
      </w:pPr>
      <w:r w:rsidRPr="00DF3644">
        <w:t>7.4. Visas pušu pretenzijas un domstarpības, kas saistītas ar šo Līgumu, jārisina pārrunu ceļā, savstarpēji vienojoties. Gadījumā, ja puses nevienojas, lieta tiek nodota tiesā Latvijas Republikas normatīvajos aktos noteiktā kārtībā.</w:t>
      </w:r>
    </w:p>
    <w:p w:rsidR="001A6EA2" w:rsidRPr="00DF3644" w:rsidRDefault="001A6EA2" w:rsidP="001A6EA2">
      <w:pPr>
        <w:jc w:val="both"/>
      </w:pPr>
      <w:r w:rsidRPr="00DF3644">
        <w:t>7.5. Līgums,  ir sastādīts latviešu valodā uz 3 (trīs) lapām, divos vienādos eksemplāros, katrai pusei pa vienam eksemplāram, abiem eksemplāriem ir vienāds juridisks spēks.</w:t>
      </w:r>
    </w:p>
    <w:p w:rsidR="001A6EA2" w:rsidRPr="00DF3644" w:rsidRDefault="001A6EA2" w:rsidP="001A6EA2">
      <w:pPr>
        <w:jc w:val="both"/>
      </w:pPr>
      <w:r w:rsidRPr="00DF3644">
        <w:t xml:space="preserve">7.6.Līgumam pievienots pielikums- </w:t>
      </w:r>
      <w:r>
        <w:t>Pretendenta piedāvājums iepirkumā.</w:t>
      </w:r>
    </w:p>
    <w:p w:rsidR="00E53FC3" w:rsidRDefault="00E53FC3" w:rsidP="001A6EA2">
      <w:pPr>
        <w:jc w:val="center"/>
        <w:rPr>
          <w:b/>
        </w:rPr>
      </w:pPr>
    </w:p>
    <w:p w:rsidR="00E53FC3" w:rsidRDefault="00E53FC3" w:rsidP="001A6EA2">
      <w:pPr>
        <w:jc w:val="center"/>
        <w:rPr>
          <w:b/>
        </w:rPr>
      </w:pPr>
    </w:p>
    <w:p w:rsidR="001A6EA2" w:rsidRPr="00DF3644" w:rsidRDefault="001A6EA2" w:rsidP="001A6EA2">
      <w:pPr>
        <w:jc w:val="center"/>
        <w:rPr>
          <w:b/>
        </w:rPr>
      </w:pPr>
      <w:r w:rsidRPr="00DF3644">
        <w:rPr>
          <w:b/>
        </w:rPr>
        <w:t>8. Pušu rekvizīti</w:t>
      </w:r>
    </w:p>
    <w:tbl>
      <w:tblPr>
        <w:tblW w:w="14856" w:type="dxa"/>
        <w:tblLook w:val="04A0" w:firstRow="1" w:lastRow="0" w:firstColumn="1" w:lastColumn="0" w:noHBand="0" w:noVBand="1"/>
      </w:tblPr>
      <w:tblGrid>
        <w:gridCol w:w="9864"/>
        <w:gridCol w:w="2496"/>
        <w:gridCol w:w="2496"/>
      </w:tblGrid>
      <w:tr w:rsidR="001A6EA2" w:rsidRPr="008D439B" w:rsidTr="00B36781">
        <w:tc>
          <w:tcPr>
            <w:tcW w:w="9864" w:type="dxa"/>
          </w:tcPr>
          <w:tbl>
            <w:tblPr>
              <w:tblW w:w="9648" w:type="dxa"/>
              <w:tblLook w:val="0000" w:firstRow="0" w:lastRow="0" w:firstColumn="0" w:lastColumn="0" w:noHBand="0" w:noVBand="0"/>
            </w:tblPr>
            <w:tblGrid>
              <w:gridCol w:w="9648"/>
            </w:tblGrid>
            <w:tr w:rsidR="001A6EA2" w:rsidRPr="000F623F" w:rsidTr="00B36781">
              <w:tc>
                <w:tcPr>
                  <w:tcW w:w="4788" w:type="dxa"/>
                </w:tcPr>
                <w:p w:rsidR="001A6EA2" w:rsidRPr="000F623F" w:rsidRDefault="001764FB" w:rsidP="00B36781">
                  <w:pPr>
                    <w:tabs>
                      <w:tab w:val="left" w:pos="850"/>
                    </w:tabs>
                    <w:suppressAutoHyphens w:val="0"/>
                    <w:spacing w:line="288" w:lineRule="auto"/>
                  </w:pPr>
                  <w:r>
                    <w:rPr>
                      <w:noProof/>
                      <w:lang w:eastAsia="lv-LV"/>
                    </w:rPr>
                    <mc:AlternateContent>
                      <mc:Choice Requires="wps">
                        <w:drawing>
                          <wp:anchor distT="45720" distB="45720" distL="114300" distR="114300" simplePos="0" relativeHeight="251659264" behindDoc="0" locked="0" layoutInCell="1" allowOverlap="1">
                            <wp:simplePos x="0" y="0"/>
                            <wp:positionH relativeFrom="column">
                              <wp:posOffset>3044190</wp:posOffset>
                            </wp:positionH>
                            <wp:positionV relativeFrom="paragraph">
                              <wp:posOffset>87630</wp:posOffset>
                            </wp:positionV>
                            <wp:extent cx="2800350" cy="2133600"/>
                            <wp:effectExtent l="0" t="0" r="0" b="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133600"/>
                                    </a:xfrm>
                                    <a:prstGeom prst="rect">
                                      <a:avLst/>
                                    </a:prstGeom>
                                    <a:solidFill>
                                      <a:srgbClr val="FFFFFF"/>
                                    </a:solidFill>
                                    <a:ln w="9525">
                                      <a:noFill/>
                                      <a:miter lim="800000"/>
                                      <a:headEnd/>
                                      <a:tailEnd/>
                                    </a:ln>
                                  </wps:spPr>
                                  <wps:txbx>
                                    <w:txbxContent>
                                      <w:p w:rsidR="001764FB" w:rsidRDefault="001764FB">
                                        <w:r>
                                          <w:t>PIEGĀDĀTĀJS</w:t>
                                        </w:r>
                                      </w:p>
                                      <w:p w:rsidR="001764FB" w:rsidRDefault="001764FB">
                                        <w:r>
                                          <w:t>SIA “Lignum Latvija”,</w:t>
                                        </w:r>
                                      </w:p>
                                      <w:p w:rsidR="001764FB" w:rsidRDefault="001764FB">
                                        <w:r>
                                          <w:t>Reģistrācijas Nr. 40103530633,</w:t>
                                        </w:r>
                                      </w:p>
                                      <w:p w:rsidR="001764FB" w:rsidRDefault="001764FB">
                                        <w:r>
                                          <w:t>Adrese: Krišjāņa Barona iela 96/98-12</w:t>
                                        </w:r>
                                      </w:p>
                                      <w:p w:rsidR="001764FB" w:rsidRDefault="001764FB">
                                        <w:r>
                                          <w:t>Rīga, LV 1001</w:t>
                                        </w:r>
                                      </w:p>
                                      <w:p w:rsidR="001764FB" w:rsidRDefault="001764FB">
                                        <w:r>
                                          <w:t>Telefons +371 29289878,</w:t>
                                        </w:r>
                                      </w:p>
                                      <w:p w:rsidR="001764FB" w:rsidRDefault="001764FB">
                                        <w:r>
                                          <w:t>Bankas rekvizīti:</w:t>
                                        </w:r>
                                      </w:p>
                                      <w:p w:rsidR="001764FB" w:rsidRDefault="001764FB">
                                        <w:r>
                                          <w:t>A/S “Swedbank”,</w:t>
                                        </w:r>
                                      </w:p>
                                      <w:p w:rsidR="001764FB" w:rsidRDefault="001764FB">
                                        <w:r>
                                          <w:t xml:space="preserve"> kods HABALV22,</w:t>
                                        </w:r>
                                      </w:p>
                                      <w:p w:rsidR="001764FB" w:rsidRDefault="001764FB">
                                        <w:r>
                                          <w:t>Konts: LV91HABA055138388845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margin-left:239.7pt;margin-top:6.9pt;width:220.5pt;height:1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" stroked="f">
                            <v:textbox>
                              <w:txbxContent>
                                <w:p w:rsidR="001764FB" w:rsidRDefault="001764FB">
                                  <w:r>
                                    <w:t>PIEGĀDĀTĀJS</w:t>
                                  </w:r>
                                </w:p>
                                <w:p w:rsidR="001764FB" w:rsidRDefault="001764FB">
                                  <w:r>
                                    <w:t>SIA “</w:t>
                                  </w:r>
                                  <w:proofErr w:type="spellStart"/>
                                  <w:r>
                                    <w:t>Lignum</w:t>
                                  </w:r>
                                  <w:proofErr w:type="spellEnd"/>
                                  <w:r>
                                    <w:t xml:space="preserve"> Latvija”,</w:t>
                                  </w:r>
                                </w:p>
                                <w:p w:rsidR="001764FB" w:rsidRDefault="001764FB">
                                  <w:r>
                                    <w:t>Reģistrācijas Nr. 40103530633,</w:t>
                                  </w:r>
                                </w:p>
                                <w:p w:rsidR="001764FB" w:rsidRDefault="001764FB">
                                  <w:r>
                                    <w:t>Adrese: Krišjāņa Barona iela 96/98-12</w:t>
                                  </w:r>
                                </w:p>
                                <w:p w:rsidR="001764FB" w:rsidRDefault="001764FB">
                                  <w:r>
                                    <w:t>Rīga, LV 1001</w:t>
                                  </w:r>
                                </w:p>
                                <w:p w:rsidR="001764FB" w:rsidRDefault="001764FB">
                                  <w:r>
                                    <w:t>Telefons +371 29289878,</w:t>
                                  </w:r>
                                </w:p>
                                <w:p w:rsidR="001764FB" w:rsidRDefault="001764FB">
                                  <w:r>
                                    <w:t>Bankas rekvizīti:</w:t>
                                  </w:r>
                                </w:p>
                                <w:p w:rsidR="001764FB" w:rsidRDefault="001764FB">
                                  <w:r>
                                    <w:t>A/S “Swedbank”,</w:t>
                                  </w:r>
                                </w:p>
                                <w:p w:rsidR="001764FB" w:rsidRDefault="001764FB">
                                  <w:r>
                                    <w:t xml:space="preserve"> kods HABALV22,</w:t>
                                  </w:r>
                                </w:p>
                                <w:p w:rsidR="001764FB" w:rsidRDefault="001764FB">
                                  <w:r>
                                    <w:t>Konts: LV91HABA055138388845</w:t>
                                  </w:r>
                                </w:p>
                              </w:txbxContent>
                            </v:textbox>
                            <w10:wrap type="square"/>
                          </v:shape>
                        </w:pict>
                      </mc:Fallback>
                    </mc:AlternateContent>
                  </w:r>
                  <w:r w:rsidR="001A6EA2" w:rsidRPr="000F623F">
                    <w:t>PASŪTĪTĀJS</w:t>
                  </w:r>
                </w:p>
                <w:p w:rsidR="001A6EA2" w:rsidRPr="000F623F" w:rsidRDefault="001A6EA2" w:rsidP="00B36781">
                  <w:pPr>
                    <w:tabs>
                      <w:tab w:val="left" w:pos="2127"/>
                    </w:tabs>
                    <w:suppressAutoHyphens w:val="0"/>
                    <w:spacing w:line="288" w:lineRule="auto"/>
                    <w:ind w:left="-3"/>
                    <w:rPr>
                      <w:b/>
                      <w:bCs/>
                    </w:rPr>
                  </w:pPr>
                  <w:r>
                    <w:rPr>
                      <w:b/>
                      <w:bCs/>
                    </w:rPr>
                    <w:t>Vaiņodes</w:t>
                  </w:r>
                  <w:r w:rsidRPr="000F623F">
                    <w:rPr>
                      <w:b/>
                      <w:bCs/>
                    </w:rPr>
                    <w:t xml:space="preserve"> novada dome</w:t>
                  </w:r>
                </w:p>
                <w:p w:rsidR="001A6EA2" w:rsidRPr="000F623F" w:rsidRDefault="001A6EA2" w:rsidP="00B36781">
                  <w:pPr>
                    <w:tabs>
                      <w:tab w:val="left" w:pos="2127"/>
                    </w:tabs>
                    <w:suppressAutoHyphens w:val="0"/>
                    <w:spacing w:line="288" w:lineRule="auto"/>
                    <w:ind w:left="-3"/>
                    <w:rPr>
                      <w:bCs/>
                    </w:rPr>
                  </w:pPr>
                  <w:r w:rsidRPr="000F623F">
                    <w:t>Reģistrācijas Nr. 900000</w:t>
                  </w:r>
                  <w:r>
                    <w:t>59071</w:t>
                  </w:r>
                </w:p>
                <w:p w:rsidR="001A6EA2" w:rsidRDefault="001A6EA2" w:rsidP="00B36781">
                  <w:pPr>
                    <w:tabs>
                      <w:tab w:val="left" w:pos="2127"/>
                    </w:tabs>
                    <w:suppressAutoHyphens w:val="0"/>
                    <w:spacing w:line="288" w:lineRule="auto"/>
                    <w:ind w:left="-3"/>
                    <w:rPr>
                      <w:bCs/>
                    </w:rPr>
                  </w:pPr>
                  <w:r w:rsidRPr="000F623F">
                    <w:rPr>
                      <w:b/>
                      <w:bCs/>
                    </w:rPr>
                    <w:t xml:space="preserve">Adrese: </w:t>
                  </w:r>
                  <w:r>
                    <w:rPr>
                      <w:bCs/>
                    </w:rPr>
                    <w:t xml:space="preserve">Raiņa iela 23a, Vaiņodes pagasts, </w:t>
                  </w:r>
                </w:p>
                <w:p w:rsidR="001A6EA2" w:rsidRPr="000F623F" w:rsidRDefault="001A6EA2" w:rsidP="00B36781">
                  <w:pPr>
                    <w:tabs>
                      <w:tab w:val="left" w:pos="2127"/>
                    </w:tabs>
                    <w:suppressAutoHyphens w:val="0"/>
                    <w:spacing w:line="288" w:lineRule="auto"/>
                    <w:ind w:left="-3"/>
                    <w:rPr>
                      <w:bCs/>
                    </w:rPr>
                  </w:pPr>
                  <w:r>
                    <w:rPr>
                      <w:bCs/>
                    </w:rPr>
                    <w:t>Vaiņodes novads, LV-3435</w:t>
                  </w:r>
                </w:p>
                <w:p w:rsidR="001A6EA2" w:rsidRPr="000F623F" w:rsidRDefault="001A6EA2" w:rsidP="00B36781">
                  <w:pPr>
                    <w:suppressAutoHyphens w:val="0"/>
                    <w:spacing w:line="288" w:lineRule="auto"/>
                  </w:pPr>
                  <w:r w:rsidRPr="000F623F">
                    <w:t xml:space="preserve">Telefons </w:t>
                  </w:r>
                  <w:r>
                    <w:t>63464954</w:t>
                  </w:r>
                  <w:r w:rsidRPr="000F623F">
                    <w:t xml:space="preserve">, fakss </w:t>
                  </w:r>
                  <w:r>
                    <w:t>63407924</w:t>
                  </w:r>
                </w:p>
                <w:p w:rsidR="001A6EA2" w:rsidRPr="000F623F" w:rsidRDefault="001A6EA2" w:rsidP="00B36781">
                  <w:pPr>
                    <w:suppressAutoHyphens w:val="0"/>
                    <w:spacing w:line="288" w:lineRule="auto"/>
                    <w:rPr>
                      <w:b/>
                    </w:rPr>
                  </w:pPr>
                  <w:r w:rsidRPr="000F623F">
                    <w:rPr>
                      <w:b/>
                    </w:rPr>
                    <w:t xml:space="preserve">Bankas rekvizīti: </w:t>
                  </w:r>
                </w:p>
                <w:p w:rsidR="001A6EA2" w:rsidRPr="000F623F" w:rsidRDefault="001A6EA2" w:rsidP="00B36781">
                  <w:pPr>
                    <w:tabs>
                      <w:tab w:val="left" w:pos="2127"/>
                    </w:tabs>
                    <w:suppressAutoHyphens w:val="0"/>
                    <w:spacing w:line="288" w:lineRule="auto"/>
                    <w:ind w:left="-3"/>
                    <w:rPr>
                      <w:bCs/>
                    </w:rPr>
                  </w:pPr>
                  <w:r>
                    <w:rPr>
                      <w:bCs/>
                    </w:rPr>
                    <w:t>AS “SEB banka”</w:t>
                  </w:r>
                  <w:r w:rsidRPr="00A45327">
                    <w:rPr>
                      <w:bCs/>
                    </w:rPr>
                    <w:t>, Vidzemes filiāle</w:t>
                  </w:r>
                </w:p>
                <w:p w:rsidR="001A6EA2" w:rsidRPr="000F623F" w:rsidRDefault="001A6EA2" w:rsidP="00B36781">
                  <w:pPr>
                    <w:tabs>
                      <w:tab w:val="left" w:pos="2127"/>
                    </w:tabs>
                    <w:suppressAutoHyphens w:val="0"/>
                    <w:spacing w:line="288" w:lineRule="auto"/>
                    <w:ind w:left="-3"/>
                    <w:rPr>
                      <w:bCs/>
                    </w:rPr>
                  </w:pPr>
                  <w:r w:rsidRPr="000F623F">
                    <w:rPr>
                      <w:bCs/>
                    </w:rPr>
                    <w:t xml:space="preserve">Kods: </w:t>
                  </w:r>
                  <w:r>
                    <w:rPr>
                      <w:bCs/>
                    </w:rPr>
                    <w:t>UNLA</w:t>
                  </w:r>
                  <w:r w:rsidRPr="00A45327">
                    <w:rPr>
                      <w:bCs/>
                    </w:rPr>
                    <w:t>LV2X</w:t>
                  </w:r>
                </w:p>
                <w:p w:rsidR="001A6EA2" w:rsidRPr="000F623F" w:rsidRDefault="001A6EA2" w:rsidP="00B36781">
                  <w:pPr>
                    <w:tabs>
                      <w:tab w:val="left" w:pos="850"/>
                    </w:tabs>
                    <w:suppressAutoHyphens w:val="0"/>
                    <w:spacing w:line="288" w:lineRule="auto"/>
                    <w:rPr>
                      <w:noProof/>
                    </w:rPr>
                  </w:pPr>
                  <w:r w:rsidRPr="000F623F">
                    <w:rPr>
                      <w:bCs/>
                    </w:rPr>
                    <w:t>Konta Nr.:</w:t>
                  </w:r>
                  <w:r w:rsidRPr="001401FF">
                    <w:rPr>
                      <w:bCs/>
                    </w:rPr>
                    <w:t xml:space="preserve"> LV33UNLA0012011130650</w:t>
                  </w:r>
                </w:p>
              </w:tc>
            </w:tr>
            <w:tr w:rsidR="001A6EA2" w:rsidRPr="000F623F" w:rsidTr="00B36781">
              <w:trPr>
                <w:trHeight w:val="1026"/>
              </w:trPr>
              <w:tc>
                <w:tcPr>
                  <w:tcW w:w="4788" w:type="dxa"/>
                  <w:tcBorders>
                    <w:top w:val="nil"/>
                    <w:left w:val="nil"/>
                    <w:right w:val="nil"/>
                  </w:tcBorders>
                </w:tcPr>
                <w:p w:rsidR="001A6EA2" w:rsidRPr="000F623F" w:rsidRDefault="001A6EA2" w:rsidP="00B36781">
                  <w:pPr>
                    <w:suppressAutoHyphens w:val="0"/>
                    <w:spacing w:line="288" w:lineRule="auto"/>
                    <w:jc w:val="center"/>
                    <w:rPr>
                      <w:noProof/>
                    </w:rPr>
                  </w:pPr>
                </w:p>
                <w:p w:rsidR="001A6EA2" w:rsidRPr="000F623F" w:rsidRDefault="001A6EA2" w:rsidP="00B36781">
                  <w:pPr>
                    <w:suppressAutoHyphens w:val="0"/>
                    <w:spacing w:line="288" w:lineRule="auto"/>
                    <w:rPr>
                      <w:bCs/>
                    </w:rPr>
                  </w:pPr>
                  <w:r w:rsidRPr="000F623F">
                    <w:rPr>
                      <w:noProof/>
                    </w:rPr>
                    <w:t xml:space="preserve">____________________ </w:t>
                  </w:r>
                  <w:r w:rsidR="001764FB">
                    <w:rPr>
                      <w:bCs/>
                    </w:rPr>
                    <w:t>Egils Juzups                         ____________________ Armands Alksnis</w:t>
                  </w:r>
                </w:p>
                <w:p w:rsidR="001A6EA2" w:rsidRDefault="001A6EA2" w:rsidP="00B36781">
                  <w:pPr>
                    <w:suppressAutoHyphens w:val="0"/>
                    <w:spacing w:line="288" w:lineRule="auto"/>
                    <w:rPr>
                      <w:bCs/>
                    </w:rPr>
                  </w:pPr>
                </w:p>
                <w:p w:rsidR="001A6EA2" w:rsidRPr="000F623F" w:rsidRDefault="001A6EA2" w:rsidP="00B36781">
                  <w:pPr>
                    <w:suppressAutoHyphens w:val="0"/>
                    <w:spacing w:line="288" w:lineRule="auto"/>
                    <w:rPr>
                      <w:b/>
                    </w:rPr>
                  </w:pPr>
                  <w:r w:rsidRPr="000F623F">
                    <w:rPr>
                      <w:bCs/>
                    </w:rPr>
                    <w:t>z.v.</w:t>
                  </w:r>
                </w:p>
              </w:tc>
            </w:tr>
          </w:tbl>
          <w:p w:rsidR="001A6EA2" w:rsidRPr="008D439B" w:rsidRDefault="001A6EA2" w:rsidP="00B36781"/>
        </w:tc>
        <w:tc>
          <w:tcPr>
            <w:tcW w:w="2496" w:type="dxa"/>
          </w:tcPr>
          <w:p w:rsidR="001A6EA2" w:rsidRPr="008D439B" w:rsidRDefault="001A6EA2" w:rsidP="00B36781">
            <w:pPr>
              <w:rPr>
                <w:b/>
              </w:rPr>
            </w:pPr>
          </w:p>
        </w:tc>
        <w:tc>
          <w:tcPr>
            <w:tcW w:w="2496" w:type="dxa"/>
          </w:tcPr>
          <w:p w:rsidR="001A6EA2" w:rsidRPr="008D439B" w:rsidRDefault="001A6EA2" w:rsidP="00B36781">
            <w:pPr>
              <w:rPr>
                <w:b/>
              </w:rPr>
            </w:pPr>
            <w:r w:rsidRPr="008D439B">
              <w:rPr>
                <w:b/>
              </w:rPr>
              <w:t>Pārdevējs:</w:t>
            </w:r>
          </w:p>
          <w:p w:rsidR="001A6EA2" w:rsidRDefault="001A6EA2" w:rsidP="00B36781"/>
          <w:p w:rsidR="001A6EA2" w:rsidRDefault="001A6EA2" w:rsidP="00B36781"/>
          <w:p w:rsidR="001A6EA2" w:rsidRDefault="001A6EA2" w:rsidP="00B36781"/>
          <w:p w:rsidR="001A6EA2" w:rsidRDefault="001A6EA2" w:rsidP="00B36781"/>
          <w:p w:rsidR="001A6EA2" w:rsidRDefault="001A6EA2" w:rsidP="00B36781"/>
          <w:p w:rsidR="001A6EA2" w:rsidRDefault="001A6EA2" w:rsidP="00B36781"/>
          <w:p w:rsidR="001A6EA2" w:rsidRDefault="001A6EA2" w:rsidP="00B36781"/>
          <w:p w:rsidR="001A6EA2" w:rsidRDefault="001A6EA2" w:rsidP="00B36781"/>
          <w:p w:rsidR="001A6EA2" w:rsidRDefault="001A6EA2" w:rsidP="00B36781"/>
          <w:p w:rsidR="001A6EA2" w:rsidRPr="008D439B" w:rsidRDefault="001A6EA2" w:rsidP="00B36781"/>
          <w:p w:rsidR="001A6EA2" w:rsidRPr="008D439B" w:rsidRDefault="001A6EA2" w:rsidP="00B36781">
            <w:r w:rsidRPr="008D439B">
              <w:t xml:space="preserve">___________________ </w:t>
            </w:r>
          </w:p>
          <w:p w:rsidR="001A6EA2" w:rsidRPr="008D439B" w:rsidRDefault="001A6EA2" w:rsidP="00B36781"/>
          <w:p w:rsidR="001A6EA2" w:rsidRPr="008D439B" w:rsidRDefault="001A6EA2" w:rsidP="00B36781">
            <w:r w:rsidRPr="008D439B">
              <w:t>201</w:t>
            </w:r>
            <w:r>
              <w:t>7</w:t>
            </w:r>
            <w:r w:rsidRPr="008D439B">
              <w:t>.gada __.</w:t>
            </w:r>
            <w:r>
              <w:t>______________</w:t>
            </w:r>
          </w:p>
        </w:tc>
      </w:tr>
    </w:tbl>
    <w:p w:rsidR="00CD759F" w:rsidRDefault="00CD759F"/>
    <w:sectPr w:rsidR="00CD7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nevaL">
    <w:altName w:val="Times New Roman"/>
    <w:charset w:val="00"/>
    <w:family w:val="auto"/>
    <w:pitch w:val="variable"/>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A2"/>
    <w:rsid w:val="001764FB"/>
    <w:rsid w:val="001A6EA2"/>
    <w:rsid w:val="008C1F30"/>
    <w:rsid w:val="00922BB6"/>
    <w:rsid w:val="00953B69"/>
    <w:rsid w:val="00AE337A"/>
    <w:rsid w:val="00CD759F"/>
    <w:rsid w:val="00E53F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83D92-A180-4334-9DA8-FAF25BEA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A6EA2"/>
    <w:pPr>
      <w:suppressAutoHyphens/>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1A6EA2"/>
    <w:pPr>
      <w:suppressAutoHyphens w:val="0"/>
      <w:ind w:left="720"/>
      <w:contextualSpacing/>
    </w:pPr>
    <w:rPr>
      <w:rFonts w:ascii="GenevaL" w:hAnsi="GenevaL"/>
      <w:szCs w:val="20"/>
      <w:lang w:val="x-none" w:eastAsia="en-US"/>
    </w:rPr>
  </w:style>
  <w:style w:type="character" w:customStyle="1" w:styleId="SarakstarindkopaRakstz">
    <w:name w:val="Saraksta rindkopa Rakstz."/>
    <w:link w:val="Sarakstarindkopa"/>
    <w:uiPriority w:val="34"/>
    <w:locked/>
    <w:rsid w:val="001A6EA2"/>
    <w:rPr>
      <w:rFonts w:ascii="GenevaL" w:eastAsia="Times New Roman" w:hAnsi="GenevaL" w:cs="Times New Roman"/>
      <w:sz w:val="24"/>
      <w:szCs w:val="20"/>
      <w:lang w:val="x-none"/>
    </w:rPr>
  </w:style>
  <w:style w:type="character" w:customStyle="1" w:styleId="apple-converted-space">
    <w:name w:val="apple-converted-space"/>
    <w:basedOn w:val="Noklusjumarindkopasfonts"/>
    <w:rsid w:val="001A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4538</Words>
  <Characters>2587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2</cp:revision>
  <cp:lastPrinted>2017-04-20T05:44:00Z</cp:lastPrinted>
  <dcterms:created xsi:type="dcterms:W3CDTF">2017-05-11T12:08:00Z</dcterms:created>
  <dcterms:modified xsi:type="dcterms:W3CDTF">2017-05-11T12:08:00Z</dcterms:modified>
</cp:coreProperties>
</file>